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7CFDBC">
      <w:pPr>
        <w:pStyle w:val="24"/>
        <w:keepNext w:val="0"/>
        <w:keepLines w:val="0"/>
        <w:suppressLineNumbers/>
        <w:spacing w:before="0" w:line="580" w:lineRule="exact"/>
        <w:rPr>
          <w:rFonts w:hint="eastAsia" w:ascii="Times New Roman" w:hAnsi="Times New Roman" w:eastAsia="黑体" w:cs="Times New Roman"/>
          <w:bCs/>
          <w:color w:val="auto"/>
          <w:spacing w:val="-4"/>
          <w:kern w:val="36"/>
          <w:lang w:eastAsia="zh-CN"/>
        </w:rPr>
      </w:pPr>
      <w:bookmarkStart w:id="0" w:name="OLE_LINK20"/>
      <w:bookmarkStart w:id="1" w:name="OLE_LINK21"/>
      <w:bookmarkStart w:id="2" w:name="OLE_LINK1"/>
      <w:r>
        <w:rPr>
          <w:rFonts w:hint="eastAsia" w:ascii="Times New Roman" w:hAnsi="Times New Roman" w:eastAsia="黑体" w:cs="Times New Roman"/>
          <w:bCs/>
          <w:color w:val="auto"/>
          <w:spacing w:val="-4"/>
          <w:kern w:val="36"/>
        </w:rPr>
        <w:t>附件</w:t>
      </w:r>
      <w:r>
        <w:rPr>
          <w:rFonts w:hint="eastAsia" w:ascii="Times New Roman" w:hAnsi="Times New Roman" w:eastAsia="黑体" w:cs="Times New Roman"/>
          <w:bCs/>
          <w:color w:val="auto"/>
          <w:spacing w:val="-4"/>
          <w:kern w:val="36"/>
          <w:lang w:val="en-US" w:eastAsia="zh-CN"/>
        </w:rPr>
        <w:t>1</w:t>
      </w:r>
      <w:bookmarkStart w:id="50" w:name="_GoBack"/>
      <w:bookmarkEnd w:id="50"/>
    </w:p>
    <w:p w14:paraId="6D3D9A1C">
      <w:pPr>
        <w:pStyle w:val="7"/>
        <w:kinsoku/>
        <w:wordWrap w:val="0"/>
        <w:topLinePunct/>
        <w:autoSpaceDE/>
        <w:autoSpaceDN/>
        <w:snapToGrid/>
        <w:spacing w:line="360" w:lineRule="auto"/>
        <w:contextualSpacing/>
        <w:rPr>
          <w:rFonts w:ascii="宋体" w:hAnsi="宋体" w:eastAsia="宋体"/>
          <w:color w:val="auto"/>
        </w:rPr>
      </w:pPr>
      <w:bookmarkStart w:id="3" w:name="_Hlk215675079"/>
      <w:bookmarkStart w:id="4" w:name="OLE_LINK13"/>
    </w:p>
    <w:p w14:paraId="6F4E16BC">
      <w:pPr>
        <w:pStyle w:val="7"/>
        <w:kinsoku/>
        <w:wordWrap w:val="0"/>
        <w:topLinePunct/>
        <w:autoSpaceDE/>
        <w:autoSpaceDN/>
        <w:snapToGrid/>
        <w:spacing w:line="360" w:lineRule="auto"/>
        <w:contextualSpacing/>
        <w:rPr>
          <w:rFonts w:ascii="宋体" w:hAnsi="宋体" w:eastAsia="宋体"/>
          <w:color w:val="auto"/>
        </w:rPr>
      </w:pPr>
    </w:p>
    <w:p w14:paraId="089D9419">
      <w:pPr>
        <w:pStyle w:val="7"/>
        <w:kinsoku/>
        <w:wordWrap w:val="0"/>
        <w:topLinePunct/>
        <w:autoSpaceDE/>
        <w:autoSpaceDN/>
        <w:snapToGrid/>
        <w:spacing w:line="360" w:lineRule="auto"/>
        <w:contextualSpacing/>
        <w:rPr>
          <w:rFonts w:ascii="宋体" w:hAnsi="宋体" w:eastAsia="宋体"/>
          <w:color w:val="auto"/>
        </w:rPr>
      </w:pPr>
    </w:p>
    <w:p w14:paraId="20473656">
      <w:pPr>
        <w:pStyle w:val="7"/>
        <w:kinsoku/>
        <w:wordWrap w:val="0"/>
        <w:topLinePunct/>
        <w:autoSpaceDE/>
        <w:autoSpaceDN/>
        <w:snapToGrid/>
        <w:spacing w:line="360" w:lineRule="auto"/>
        <w:contextualSpacing/>
        <w:rPr>
          <w:rFonts w:ascii="宋体" w:hAnsi="宋体" w:eastAsia="宋体"/>
          <w:color w:val="auto"/>
        </w:rPr>
      </w:pPr>
    </w:p>
    <w:p w14:paraId="68C2B027">
      <w:pPr>
        <w:pStyle w:val="7"/>
        <w:kinsoku/>
        <w:wordWrap w:val="0"/>
        <w:topLinePunct/>
        <w:autoSpaceDE/>
        <w:autoSpaceDN/>
        <w:snapToGrid/>
        <w:spacing w:line="360" w:lineRule="auto"/>
        <w:contextualSpacing/>
        <w:rPr>
          <w:rFonts w:ascii="宋体" w:hAnsi="宋体" w:eastAsia="宋体"/>
          <w:color w:val="auto"/>
        </w:rPr>
      </w:pPr>
    </w:p>
    <w:bookmarkEnd w:id="3"/>
    <w:bookmarkEnd w:id="4"/>
    <w:p w14:paraId="75E3B87A">
      <w:pPr>
        <w:pStyle w:val="2"/>
        <w:wordWrap w:val="0"/>
        <w:topLinePunct/>
        <w:spacing w:line="360" w:lineRule="auto"/>
        <w:ind w:leftChars="-202" w:right="-340" w:rightChars="-162" w:hanging="423" w:hangingChars="99"/>
        <w:contextualSpacing/>
        <w:jc w:val="center"/>
        <w:rPr>
          <w:rFonts w:ascii="Times New Roman" w:hAnsi="Times New Roman" w:eastAsia="方正小标宋简体" w:cs="Times New Roman"/>
          <w:b w:val="0"/>
          <w:bCs/>
          <w:spacing w:val="-6"/>
          <w:kern w:val="36"/>
          <w:szCs w:val="44"/>
        </w:rPr>
      </w:pPr>
      <w:bookmarkStart w:id="5" w:name="_Toc213281184"/>
      <w:bookmarkStart w:id="6" w:name="_Toc213278492"/>
      <w:bookmarkStart w:id="7" w:name="_Toc215674214"/>
      <w:r>
        <w:rPr>
          <w:rFonts w:hint="eastAsia" w:ascii="Times New Roman" w:hAnsi="Times New Roman" w:eastAsia="方正小标宋简体" w:cs="Times New Roman"/>
          <w:b w:val="0"/>
          <w:bCs/>
          <w:spacing w:val="-6"/>
          <w:kern w:val="36"/>
          <w:szCs w:val="44"/>
        </w:rPr>
        <w:t>宝鸡</w:t>
      </w:r>
      <w:r>
        <w:rPr>
          <w:rFonts w:ascii="Times New Roman" w:hAnsi="Times New Roman" w:eastAsia="方正小标宋简体" w:cs="Times New Roman"/>
          <w:b w:val="0"/>
          <w:bCs/>
          <w:spacing w:val="-6"/>
          <w:kern w:val="36"/>
          <w:szCs w:val="44"/>
        </w:rPr>
        <w:t>市</w:t>
      </w:r>
      <w:bookmarkEnd w:id="5"/>
      <w:bookmarkEnd w:id="6"/>
      <w:r>
        <w:rPr>
          <w:rFonts w:hint="eastAsia" w:ascii="Times New Roman" w:hAnsi="Times New Roman" w:eastAsia="方正小标宋简体" w:cs="Times New Roman"/>
          <w:b w:val="0"/>
          <w:bCs/>
          <w:spacing w:val="-6"/>
          <w:kern w:val="36"/>
          <w:szCs w:val="44"/>
        </w:rPr>
        <w:t>“平急两用”旅游居住设施建设技术导则</w:t>
      </w:r>
      <w:bookmarkEnd w:id="7"/>
    </w:p>
    <w:p w14:paraId="786EB5A2">
      <w:pPr>
        <w:pStyle w:val="7"/>
        <w:kinsoku/>
        <w:topLinePunct/>
        <w:autoSpaceDE/>
        <w:autoSpaceDN/>
        <w:snapToGrid/>
        <w:spacing w:line="360" w:lineRule="auto"/>
        <w:contextualSpacing/>
        <w:rPr>
          <w:rFonts w:ascii="宋体" w:hAnsi="宋体" w:eastAsia="宋体"/>
          <w:b/>
          <w:color w:val="auto"/>
        </w:rPr>
      </w:pPr>
      <w:bookmarkStart w:id="8" w:name="_Hlk215675414"/>
      <w:bookmarkStart w:id="9" w:name="OLE_LINK14"/>
    </w:p>
    <w:p w14:paraId="4A3B1192">
      <w:pPr>
        <w:pStyle w:val="7"/>
        <w:kinsoku/>
        <w:topLinePunct/>
        <w:autoSpaceDE/>
        <w:autoSpaceDN/>
        <w:snapToGrid/>
        <w:spacing w:line="360" w:lineRule="auto"/>
        <w:contextualSpacing/>
        <w:rPr>
          <w:rFonts w:ascii="宋体" w:hAnsi="宋体" w:eastAsia="宋体"/>
          <w:b/>
          <w:color w:val="auto"/>
        </w:rPr>
      </w:pPr>
    </w:p>
    <w:p w14:paraId="571DE27B">
      <w:pPr>
        <w:pStyle w:val="7"/>
        <w:kinsoku/>
        <w:topLinePunct/>
        <w:autoSpaceDE/>
        <w:autoSpaceDN/>
        <w:snapToGrid/>
        <w:spacing w:line="360" w:lineRule="auto"/>
        <w:contextualSpacing/>
        <w:rPr>
          <w:rFonts w:ascii="宋体" w:hAnsi="宋体" w:eastAsia="宋体"/>
          <w:b/>
          <w:color w:val="auto"/>
        </w:rPr>
      </w:pPr>
    </w:p>
    <w:p w14:paraId="30867DB9">
      <w:pPr>
        <w:pStyle w:val="7"/>
        <w:kinsoku/>
        <w:topLinePunct/>
        <w:autoSpaceDE/>
        <w:autoSpaceDN/>
        <w:snapToGrid/>
        <w:spacing w:line="360" w:lineRule="auto"/>
        <w:contextualSpacing/>
        <w:rPr>
          <w:rFonts w:ascii="宋体" w:hAnsi="宋体" w:eastAsia="宋体"/>
          <w:b/>
          <w:color w:val="auto"/>
        </w:rPr>
      </w:pPr>
    </w:p>
    <w:p w14:paraId="7F2B8763">
      <w:pPr>
        <w:pStyle w:val="7"/>
        <w:kinsoku/>
        <w:topLinePunct/>
        <w:autoSpaceDE/>
        <w:autoSpaceDN/>
        <w:snapToGrid/>
        <w:spacing w:line="360" w:lineRule="auto"/>
        <w:contextualSpacing/>
        <w:rPr>
          <w:rFonts w:ascii="宋体" w:hAnsi="宋体" w:eastAsia="宋体"/>
          <w:b/>
          <w:color w:val="auto"/>
        </w:rPr>
      </w:pPr>
    </w:p>
    <w:p w14:paraId="3291F168">
      <w:pPr>
        <w:pStyle w:val="7"/>
        <w:kinsoku/>
        <w:topLinePunct/>
        <w:autoSpaceDE/>
        <w:autoSpaceDN/>
        <w:snapToGrid/>
        <w:spacing w:line="360" w:lineRule="auto"/>
        <w:contextualSpacing/>
        <w:rPr>
          <w:rFonts w:ascii="宋体" w:hAnsi="宋体" w:eastAsia="宋体"/>
          <w:b/>
          <w:color w:val="auto"/>
        </w:rPr>
      </w:pPr>
    </w:p>
    <w:p w14:paraId="2EEB4A99">
      <w:pPr>
        <w:pStyle w:val="7"/>
        <w:kinsoku/>
        <w:topLinePunct/>
        <w:autoSpaceDE/>
        <w:autoSpaceDN/>
        <w:snapToGrid/>
        <w:spacing w:line="360" w:lineRule="auto"/>
        <w:contextualSpacing/>
        <w:rPr>
          <w:rFonts w:ascii="宋体" w:hAnsi="宋体" w:eastAsia="宋体"/>
          <w:b/>
          <w:color w:val="auto"/>
        </w:rPr>
      </w:pPr>
    </w:p>
    <w:p w14:paraId="23E6FC66">
      <w:pPr>
        <w:pStyle w:val="7"/>
        <w:kinsoku/>
        <w:topLinePunct/>
        <w:autoSpaceDE/>
        <w:autoSpaceDN/>
        <w:snapToGrid/>
        <w:spacing w:line="360" w:lineRule="auto"/>
        <w:contextualSpacing/>
        <w:rPr>
          <w:rFonts w:ascii="宋体" w:hAnsi="宋体" w:eastAsia="宋体"/>
          <w:b/>
          <w:color w:val="auto"/>
        </w:rPr>
      </w:pPr>
    </w:p>
    <w:p w14:paraId="6F6D91D2">
      <w:pPr>
        <w:pStyle w:val="7"/>
        <w:kinsoku/>
        <w:topLinePunct/>
        <w:autoSpaceDE/>
        <w:autoSpaceDN/>
        <w:snapToGrid/>
        <w:spacing w:line="360" w:lineRule="auto"/>
        <w:contextualSpacing/>
        <w:rPr>
          <w:rFonts w:ascii="宋体" w:hAnsi="宋体" w:eastAsia="宋体"/>
          <w:b/>
          <w:color w:val="auto"/>
        </w:rPr>
      </w:pPr>
    </w:p>
    <w:p w14:paraId="59800B0A">
      <w:pPr>
        <w:pStyle w:val="7"/>
        <w:kinsoku/>
        <w:wordWrap w:val="0"/>
        <w:topLinePunct/>
        <w:autoSpaceDE/>
        <w:autoSpaceDN/>
        <w:snapToGrid/>
        <w:spacing w:line="360" w:lineRule="auto"/>
        <w:contextualSpacing/>
        <w:rPr>
          <w:rFonts w:ascii="宋体" w:hAnsi="宋体" w:eastAsia="宋体"/>
          <w:b/>
          <w:color w:val="auto"/>
        </w:rPr>
      </w:pPr>
    </w:p>
    <w:p w14:paraId="1FEFDABF">
      <w:pPr>
        <w:pStyle w:val="7"/>
        <w:kinsoku/>
        <w:wordWrap w:val="0"/>
        <w:topLinePunct/>
        <w:autoSpaceDE/>
        <w:autoSpaceDN/>
        <w:snapToGrid/>
        <w:spacing w:line="360" w:lineRule="auto"/>
        <w:contextualSpacing/>
        <w:rPr>
          <w:rFonts w:ascii="宋体" w:hAnsi="宋体" w:eastAsia="宋体"/>
          <w:b/>
          <w:color w:val="auto"/>
        </w:rPr>
      </w:pPr>
    </w:p>
    <w:p w14:paraId="035A2E12">
      <w:pPr>
        <w:pStyle w:val="7"/>
        <w:kinsoku/>
        <w:wordWrap w:val="0"/>
        <w:topLinePunct/>
        <w:autoSpaceDE/>
        <w:autoSpaceDN/>
        <w:snapToGrid/>
        <w:spacing w:line="360" w:lineRule="auto"/>
        <w:contextualSpacing/>
        <w:rPr>
          <w:rFonts w:ascii="宋体" w:hAnsi="宋体" w:eastAsia="宋体"/>
          <w:b/>
          <w:color w:val="auto"/>
        </w:rPr>
      </w:pPr>
    </w:p>
    <w:p w14:paraId="3EEFA9C0">
      <w:pPr>
        <w:pStyle w:val="7"/>
        <w:kinsoku/>
        <w:wordWrap w:val="0"/>
        <w:topLinePunct/>
        <w:autoSpaceDE/>
        <w:autoSpaceDN/>
        <w:snapToGrid/>
        <w:spacing w:line="360" w:lineRule="auto"/>
        <w:contextualSpacing/>
        <w:rPr>
          <w:rFonts w:ascii="宋体" w:hAnsi="宋体" w:eastAsia="宋体"/>
          <w:b/>
          <w:color w:val="auto"/>
        </w:rPr>
      </w:pPr>
    </w:p>
    <w:bookmarkEnd w:id="8"/>
    <w:bookmarkEnd w:id="9"/>
    <w:p w14:paraId="20347240">
      <w:pPr>
        <w:pStyle w:val="2"/>
        <w:keepNext w:val="0"/>
        <w:keepLines w:val="0"/>
        <w:widowControl/>
        <w:wordWrap w:val="0"/>
        <w:topLinePunct/>
        <w:spacing w:before="100" w:beforeAutospacing="1" w:after="100" w:afterAutospacing="1" w:line="360" w:lineRule="auto"/>
        <w:contextualSpacing/>
        <w:jc w:val="center"/>
        <w:rPr>
          <w:rFonts w:ascii="Times New Roman" w:hAnsi="Times New Roman" w:eastAsia="黑体" w:cs="Times New Roman"/>
          <w:b w:val="0"/>
          <w:bCs/>
          <w:spacing w:val="-4"/>
          <w:kern w:val="36"/>
          <w:sz w:val="36"/>
          <w:szCs w:val="36"/>
        </w:rPr>
      </w:pPr>
      <w:bookmarkStart w:id="10" w:name="_Toc213281187"/>
      <w:bookmarkStart w:id="11" w:name="_Toc213278495"/>
      <w:bookmarkStart w:id="12" w:name="_Toc215674216"/>
      <w:r>
        <w:rPr>
          <w:rFonts w:hint="eastAsia" w:ascii="Times New Roman" w:hAnsi="Times New Roman" w:eastAsia="黑体" w:cs="Times New Roman"/>
          <w:b w:val="0"/>
          <w:bCs/>
          <w:spacing w:val="-4"/>
          <w:kern w:val="36"/>
          <w:sz w:val="36"/>
          <w:szCs w:val="36"/>
        </w:rPr>
        <w:t>宝鸡</w:t>
      </w:r>
      <w:r>
        <w:rPr>
          <w:rFonts w:ascii="Times New Roman" w:hAnsi="Times New Roman" w:eastAsia="黑体" w:cs="Times New Roman"/>
          <w:b w:val="0"/>
          <w:bCs/>
          <w:spacing w:val="-4"/>
          <w:kern w:val="36"/>
          <w:sz w:val="36"/>
          <w:szCs w:val="36"/>
        </w:rPr>
        <w:t>市住房和城乡建设局</w:t>
      </w:r>
      <w:bookmarkEnd w:id="10"/>
      <w:bookmarkEnd w:id="11"/>
      <w:bookmarkEnd w:id="12"/>
    </w:p>
    <w:p w14:paraId="71ABE264">
      <w:pPr>
        <w:pStyle w:val="2"/>
        <w:wordWrap w:val="0"/>
        <w:topLinePunct/>
        <w:spacing w:line="360" w:lineRule="auto"/>
        <w:contextualSpacing/>
        <w:jc w:val="center"/>
        <w:rPr>
          <w:rFonts w:ascii="宋体" w:hAnsi="宋体" w:eastAsia="宋体"/>
        </w:rPr>
      </w:pPr>
      <w:bookmarkStart w:id="13" w:name="_Toc213278496"/>
      <w:bookmarkStart w:id="14" w:name="_Toc215674217"/>
      <w:bookmarkStart w:id="15" w:name="_Toc213281188"/>
      <w:r>
        <w:rPr>
          <w:rFonts w:ascii="Times New Roman" w:hAnsi="Times New Roman" w:eastAsia="黑体" w:cs="Times New Roman"/>
          <w:b w:val="0"/>
          <w:bCs/>
          <w:spacing w:val="-12"/>
          <w:kern w:val="36"/>
          <w:sz w:val="36"/>
          <w:szCs w:val="36"/>
        </w:rPr>
        <w:t>2025 年 12月</w:t>
      </w:r>
      <w:bookmarkEnd w:id="13"/>
      <w:bookmarkEnd w:id="14"/>
      <w:bookmarkEnd w:id="15"/>
    </w:p>
    <w:p w14:paraId="5844FB93">
      <w:pPr>
        <w:widowControl/>
        <w:jc w:val="left"/>
        <w:rPr>
          <w:rFonts w:ascii="宋体" w:hAnsi="宋体" w:eastAsia="宋体"/>
        </w:rPr>
      </w:pPr>
      <w:r>
        <w:rPr>
          <w:rFonts w:ascii="宋体" w:hAnsi="宋体" w:eastAsia="宋体"/>
        </w:rPr>
        <w:br w:type="page"/>
      </w:r>
    </w:p>
    <w:bookmarkEnd w:id="0"/>
    <w:bookmarkEnd w:id="1"/>
    <w:bookmarkEnd w:id="2"/>
    <w:sdt>
      <w:sdtPr>
        <w:rPr>
          <w:rFonts w:asciiTheme="minorHAnsi" w:hAnsiTheme="minorHAnsi" w:eastAsiaTheme="minorEastAsia" w:cstheme="minorBidi"/>
          <w:color w:val="auto"/>
          <w:kern w:val="2"/>
          <w:sz w:val="21"/>
          <w:szCs w:val="22"/>
          <w:lang w:val="zh-CN"/>
        </w:rPr>
        <w:id w:val="154702578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14:paraId="37FEBB15">
          <w:pPr>
            <w:pStyle w:val="30"/>
            <w:jc w:val="center"/>
            <w:rPr>
              <w:rFonts w:ascii="黑体" w:hAnsi="黑体" w:eastAsia="黑体" w:cs="黑体"/>
              <w:bCs/>
              <w:snapToGrid w:val="0"/>
              <w:color w:val="auto"/>
              <w:sz w:val="40"/>
              <w:szCs w:val="40"/>
              <w:lang w:eastAsia="en-US"/>
            </w:rPr>
          </w:pPr>
          <w:bookmarkStart w:id="16" w:name="OLE_LINK23"/>
          <w:bookmarkStart w:id="17" w:name="OLE_LINK24"/>
          <w:r>
            <w:rPr>
              <w:rFonts w:ascii="黑体" w:hAnsi="黑体" w:eastAsia="黑体" w:cs="黑体"/>
              <w:bCs/>
              <w:snapToGrid w:val="0"/>
              <w:color w:val="auto"/>
              <w:sz w:val="40"/>
              <w:szCs w:val="40"/>
              <w:lang w:eastAsia="en-US"/>
            </w:rPr>
            <w:t>目录</w:t>
          </w:r>
        </w:p>
        <w:p w14:paraId="438EE079">
          <w:pPr>
            <w:rPr>
              <w:lang w:eastAsia="en-US"/>
            </w:rPr>
          </w:pPr>
        </w:p>
        <w:p w14:paraId="1C1595FB">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TOC \o "1-3" \h \z \u </w:instrText>
          </w:r>
          <w:r>
            <w:rPr>
              <w:rFonts w:ascii="Times New Roman" w:hAnsi="Times New Roman" w:eastAsia="方正仿宋_GB2312" w:cs="Times New Roman"/>
              <w:snapToGrid w:val="0"/>
              <w:kern w:val="0"/>
              <w:sz w:val="28"/>
              <w:szCs w:val="28"/>
              <w:lang w:eastAsia="en-US"/>
            </w:rPr>
            <w:fldChar w:fldCharType="separate"/>
          </w:r>
          <w:r>
            <w:fldChar w:fldCharType="begin"/>
          </w:r>
          <w:r>
            <w:instrText xml:space="preserve"> HYPERLINK \l "_Toc215674218" </w:instrText>
          </w:r>
          <w:r>
            <w:fldChar w:fldCharType="separate"/>
          </w:r>
          <w:r>
            <w:rPr>
              <w:rFonts w:ascii="Times New Roman" w:hAnsi="Times New Roman" w:eastAsia="方正仿宋_GB2312" w:cs="Times New Roman"/>
              <w:snapToGrid w:val="0"/>
              <w:kern w:val="0"/>
              <w:sz w:val="28"/>
              <w:szCs w:val="28"/>
              <w:lang w:eastAsia="en-US"/>
            </w:rPr>
            <w:t>1 总则</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_Toc215674218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0327867E">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"_Toc215674219" </w:instrText>
          </w:r>
          <w:r>
            <w:fldChar w:fldCharType="separate"/>
          </w:r>
          <w:r>
            <w:rPr>
              <w:rFonts w:ascii="Times New Roman" w:hAnsi="Times New Roman" w:eastAsia="方正仿宋_GB2312" w:cs="Times New Roman"/>
              <w:sz w:val="28"/>
              <w:szCs w:val="28"/>
              <w:lang w:eastAsia="en-US"/>
            </w:rPr>
            <w:t>2  术语</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_Toc215674219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2</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1E5F4E1E">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"_Toc215674220" </w:instrText>
          </w:r>
          <w:r>
            <w:fldChar w:fldCharType="separate"/>
          </w:r>
          <w:r>
            <w:rPr>
              <w:rFonts w:ascii="Times New Roman" w:hAnsi="Times New Roman" w:eastAsia="方正仿宋_GB2312" w:cs="Times New Roman"/>
              <w:sz w:val="28"/>
              <w:szCs w:val="28"/>
              <w:lang w:eastAsia="en-US"/>
            </w:rPr>
            <w:t>3  基本要求</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_Toc215674220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4</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49448D2C">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"_Toc215674221" </w:instrText>
          </w:r>
          <w:r>
            <w:fldChar w:fldCharType="separate"/>
          </w:r>
          <w:r>
            <w:rPr>
              <w:rFonts w:ascii="Times New Roman" w:hAnsi="Times New Roman" w:eastAsia="方正仿宋_GB2312" w:cs="Times New Roman"/>
              <w:sz w:val="28"/>
              <w:szCs w:val="28"/>
              <w:lang w:eastAsia="en-US"/>
            </w:rPr>
            <w:t>4 选址要求</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_Toc215674221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7</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65E8AB45">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"_Toc215674222" </w:instrText>
          </w:r>
          <w:r>
            <w:fldChar w:fldCharType="separate"/>
          </w:r>
          <w:r>
            <w:rPr>
              <w:rFonts w:ascii="Times New Roman" w:hAnsi="Times New Roman" w:eastAsia="方正仿宋_GB2312" w:cs="Times New Roman"/>
              <w:sz w:val="28"/>
              <w:szCs w:val="28"/>
              <w:lang w:eastAsia="en-US"/>
            </w:rPr>
            <w:t>5  总平面设计</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_Toc215674222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9</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29FF718D">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"_Toc215674223" </w:instrText>
          </w:r>
          <w:r>
            <w:fldChar w:fldCharType="separate"/>
          </w:r>
          <w:r>
            <w:rPr>
              <w:rFonts w:ascii="Times New Roman" w:hAnsi="Times New Roman" w:eastAsia="方正仿宋_GB2312" w:cs="Times New Roman"/>
              <w:sz w:val="28"/>
              <w:szCs w:val="28"/>
              <w:lang w:eastAsia="en-US"/>
            </w:rPr>
            <w:t>6  建筑</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_Toc215674223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11</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47B3EEE3">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"_Toc215674224" </w:instrText>
          </w:r>
          <w:r>
            <w:fldChar w:fldCharType="separate"/>
          </w:r>
          <w:r>
            <w:rPr>
              <w:rFonts w:ascii="Times New Roman" w:hAnsi="Times New Roman" w:eastAsia="方正仿宋_GB2312" w:cs="Times New Roman"/>
              <w:snapToGrid w:val="0"/>
              <w:kern w:val="0"/>
              <w:sz w:val="28"/>
              <w:szCs w:val="28"/>
              <w:lang w:eastAsia="en-US"/>
            </w:rPr>
            <w:t>6.1  隔离安置区</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_Toc215674224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11</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5CE04AF0">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"_Toc215674225" </w:instrText>
          </w:r>
          <w:r>
            <w:fldChar w:fldCharType="separate"/>
          </w:r>
          <w:r>
            <w:rPr>
              <w:rFonts w:ascii="Times New Roman" w:hAnsi="Times New Roman" w:eastAsia="方正仿宋_GB2312" w:cs="Times New Roman"/>
              <w:snapToGrid w:val="0"/>
              <w:kern w:val="0"/>
              <w:sz w:val="28"/>
              <w:szCs w:val="28"/>
              <w:lang w:eastAsia="en-US"/>
            </w:rPr>
            <w:t>6.2  工作准备区</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_Toc215674225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12</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23A7B62D">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"_Toc215674226" </w:instrText>
          </w:r>
          <w:r>
            <w:fldChar w:fldCharType="separate"/>
          </w:r>
          <w:r>
            <w:rPr>
              <w:rFonts w:ascii="Times New Roman" w:hAnsi="Times New Roman" w:eastAsia="方正仿宋_GB2312" w:cs="Times New Roman"/>
              <w:snapToGrid w:val="0"/>
              <w:kern w:val="0"/>
              <w:sz w:val="28"/>
              <w:szCs w:val="28"/>
              <w:lang w:eastAsia="en-US"/>
            </w:rPr>
            <w:t>6.3  缓冲区</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_Toc215674226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12</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74049FC8">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"_Toc215674227" </w:instrText>
          </w:r>
          <w:r>
            <w:fldChar w:fldCharType="separate"/>
          </w:r>
          <w:r>
            <w:rPr>
              <w:rFonts w:ascii="Times New Roman" w:hAnsi="Times New Roman" w:eastAsia="方正仿宋_GB2312" w:cs="Times New Roman"/>
              <w:snapToGrid w:val="0"/>
              <w:kern w:val="0"/>
              <w:sz w:val="28"/>
              <w:szCs w:val="28"/>
              <w:lang w:eastAsia="en-US"/>
            </w:rPr>
            <w:t>6.4  其他</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_Toc215674227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13</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7072A7C6">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"_Toc215674228" </w:instrText>
          </w:r>
          <w:r>
            <w:fldChar w:fldCharType="separate"/>
          </w:r>
          <w:r>
            <w:rPr>
              <w:rFonts w:ascii="Times New Roman" w:hAnsi="Times New Roman" w:eastAsia="方正仿宋_GB2312" w:cs="Times New Roman"/>
              <w:sz w:val="28"/>
              <w:szCs w:val="28"/>
              <w:lang w:eastAsia="en-US"/>
            </w:rPr>
            <w:t>7  结构</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_Toc215674228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14</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799B5B53">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"_Toc215674229" </w:instrText>
          </w:r>
          <w:r>
            <w:fldChar w:fldCharType="separate"/>
          </w:r>
          <w:r>
            <w:rPr>
              <w:rFonts w:ascii="Times New Roman" w:hAnsi="Times New Roman" w:eastAsia="方正仿宋_GB2312" w:cs="Times New Roman"/>
              <w:sz w:val="28"/>
              <w:szCs w:val="28"/>
              <w:lang w:eastAsia="en-US"/>
            </w:rPr>
            <w:t>8  给排水</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_Toc215674229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16</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580B7DDB">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"_Toc215674230" </w:instrText>
          </w:r>
          <w:r>
            <w:fldChar w:fldCharType="separate"/>
          </w:r>
          <w:r>
            <w:rPr>
              <w:rFonts w:ascii="Times New Roman" w:hAnsi="Times New Roman" w:eastAsia="方正仿宋_GB2312" w:cs="Times New Roman"/>
              <w:sz w:val="28"/>
              <w:szCs w:val="28"/>
              <w:lang w:eastAsia="en-US"/>
            </w:rPr>
            <w:t>9  供暖、通风与空调</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_Toc215674230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18</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4BE81A64">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"_Toc215674231" </w:instrText>
          </w:r>
          <w:r>
            <w:fldChar w:fldCharType="separate"/>
          </w:r>
          <w:r>
            <w:rPr>
              <w:rFonts w:ascii="Times New Roman" w:hAnsi="Times New Roman" w:eastAsia="方正仿宋_GB2312" w:cs="Times New Roman"/>
              <w:sz w:val="28"/>
              <w:szCs w:val="28"/>
              <w:lang w:eastAsia="en-US"/>
            </w:rPr>
            <w:t>10  电气</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_Toc215674231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21</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22495462">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"_Toc215674232" </w:instrText>
          </w:r>
          <w:r>
            <w:fldChar w:fldCharType="separate"/>
          </w:r>
          <w:r>
            <w:rPr>
              <w:rFonts w:ascii="Times New Roman" w:hAnsi="Times New Roman" w:eastAsia="方正仿宋_GB2312" w:cs="Times New Roman"/>
              <w:sz w:val="28"/>
              <w:szCs w:val="28"/>
              <w:lang w:eastAsia="en-US"/>
            </w:rPr>
            <w:t>11  智能化</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_Toc215674232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23</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7236F636">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"_Toc215674233" </w:instrText>
          </w:r>
          <w:r>
            <w:fldChar w:fldCharType="separate"/>
          </w:r>
          <w:r>
            <w:rPr>
              <w:rFonts w:ascii="Times New Roman" w:hAnsi="Times New Roman" w:eastAsia="方正仿宋_GB2312" w:cs="Times New Roman"/>
              <w:sz w:val="28"/>
              <w:szCs w:val="28"/>
              <w:lang w:eastAsia="en-US"/>
            </w:rPr>
            <w:t>12  平急转换</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_Toc215674233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26</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419061D0">
          <w:pPr>
            <w:pStyle w:val="13"/>
            <w:widowControl/>
            <w:tabs>
              <w:tab w:val="right" w:leader="dot" w:pos="8630"/>
            </w:tabs>
            <w:spacing w:after="100" w:line="360" w:lineRule="auto"/>
            <w:ind w:left="220" w:leftChars="0"/>
            <w:jc w:val="left"/>
            <w:rPr>
              <w:rFonts w:ascii="Times New Roman" w:hAnsi="Times New Roman" w:eastAsia="方正仿宋_GB2312" w:cs="Times New Roman"/>
              <w:snapToGrid w:val="0"/>
              <w:kern w:val="0"/>
              <w:sz w:val="28"/>
              <w:szCs w:val="28"/>
              <w:lang w:eastAsia="en-US"/>
            </w:rPr>
          </w:pPr>
          <w:r>
            <w:fldChar w:fldCharType="begin"/>
          </w:r>
          <w:r>
            <w:instrText xml:space="preserve"> HYPERLINK \l "_Toc215674234" </w:instrText>
          </w:r>
          <w:r>
            <w:fldChar w:fldCharType="separate"/>
          </w:r>
          <w:r>
            <w:rPr>
              <w:rFonts w:ascii="Times New Roman" w:hAnsi="Times New Roman" w:eastAsia="方正仿宋_GB2312" w:cs="Times New Roman"/>
              <w:sz w:val="28"/>
              <w:szCs w:val="28"/>
              <w:lang w:eastAsia="en-US"/>
            </w:rPr>
            <w:t>13  运营维护</w:t>
          </w:r>
          <w:r>
            <w:rPr>
              <w:rFonts w:ascii="Times New Roman" w:hAnsi="Times New Roman" w:eastAsia="方正仿宋_GB2312" w:cs="Times New Roman"/>
              <w:snapToGrid w:val="0"/>
              <w:kern w:val="0"/>
              <w:sz w:val="28"/>
              <w:szCs w:val="28"/>
              <w:lang w:eastAsia="en-US"/>
            </w:rPr>
            <w:tab/>
          </w:r>
          <w:r>
            <w:rPr>
              <w:rFonts w:ascii="Times New Roman" w:hAnsi="Times New Roman" w:eastAsia="方正仿宋_GB2312" w:cs="Times New Roman"/>
              <w:snapToGrid w:val="0"/>
              <w:kern w:val="0"/>
              <w:sz w:val="28"/>
              <w:szCs w:val="28"/>
              <w:lang w:eastAsia="en-US"/>
            </w:rPr>
            <w:fldChar w:fldCharType="begin"/>
          </w:r>
          <w:r>
            <w:rPr>
              <w:rFonts w:ascii="Times New Roman" w:hAnsi="Times New Roman" w:eastAsia="方正仿宋_GB2312" w:cs="Times New Roman"/>
              <w:snapToGrid w:val="0"/>
              <w:kern w:val="0"/>
              <w:sz w:val="28"/>
              <w:szCs w:val="28"/>
              <w:lang w:eastAsia="en-US"/>
            </w:rPr>
            <w:instrText xml:space="preserve"> PAGEREF _Toc215674234 \h </w:instrText>
          </w:r>
          <w:r>
            <w:rPr>
              <w:rFonts w:ascii="Times New Roman" w:hAnsi="Times New Roman" w:eastAsia="方正仿宋_GB2312" w:cs="Times New Roman"/>
              <w:snapToGrid w:val="0"/>
              <w:kern w:val="0"/>
              <w:sz w:val="28"/>
              <w:szCs w:val="28"/>
              <w:lang w:eastAsia="en-US"/>
            </w:rPr>
            <w:fldChar w:fldCharType="separate"/>
          </w:r>
          <w:r>
            <w:rPr>
              <w:rFonts w:ascii="Times New Roman" w:hAnsi="Times New Roman" w:eastAsia="方正仿宋_GB2312" w:cs="Times New Roman"/>
              <w:snapToGrid w:val="0"/>
              <w:kern w:val="0"/>
              <w:sz w:val="28"/>
              <w:szCs w:val="28"/>
              <w:lang w:eastAsia="en-US"/>
            </w:rPr>
            <w:t>30</w:t>
          </w:r>
          <w:r>
            <w:rPr>
              <w:rFonts w:ascii="Times New Roman" w:hAnsi="Times New Roman" w:eastAsia="方正仿宋_GB2312" w:cs="Times New Roman"/>
              <w:snapToGrid w:val="0"/>
              <w:kern w:val="0"/>
              <w:sz w:val="28"/>
              <w:szCs w:val="28"/>
              <w:lang w:eastAsia="en-US"/>
            </w:rPr>
            <w:fldChar w:fldCharType="end"/>
          </w:r>
          <w:r>
            <w:rPr>
              <w:rFonts w:ascii="Times New Roman" w:hAnsi="Times New Roman" w:eastAsia="方正仿宋_GB2312" w:cs="Times New Roman"/>
              <w:snapToGrid w:val="0"/>
              <w:kern w:val="0"/>
              <w:sz w:val="28"/>
              <w:szCs w:val="28"/>
              <w:lang w:eastAsia="en-US"/>
            </w:rPr>
            <w:fldChar w:fldCharType="end"/>
          </w:r>
        </w:p>
        <w:p w14:paraId="425BF6A3">
          <w:pPr>
            <w:pStyle w:val="13"/>
            <w:widowControl/>
            <w:tabs>
              <w:tab w:val="right" w:leader="dot" w:pos="8630"/>
            </w:tabs>
            <w:spacing w:after="100" w:line="360" w:lineRule="auto"/>
            <w:ind w:left="220" w:leftChars="0"/>
            <w:jc w:val="left"/>
          </w:pPr>
          <w:r>
            <w:rPr>
              <w:rFonts w:ascii="Times New Roman" w:hAnsi="Times New Roman" w:eastAsia="方正仿宋_GB2312" w:cs="Times New Roman"/>
              <w:snapToGrid w:val="0"/>
              <w:kern w:val="0"/>
              <w:sz w:val="28"/>
              <w:szCs w:val="28"/>
              <w:lang w:eastAsia="en-US"/>
            </w:rPr>
            <w:fldChar w:fldCharType="end"/>
          </w:r>
        </w:p>
      </w:sdtContent>
    </w:sdt>
    <w:p w14:paraId="7FA253E1">
      <w:pPr>
        <w:pStyle w:val="2"/>
        <w:keepNext w:val="0"/>
        <w:keepLines w:val="0"/>
        <w:widowControl/>
        <w:suppressLineNumbers/>
        <w:rPr>
          <w:rFonts w:ascii="宋体" w:hAnsi="宋体" w:eastAsia="宋体"/>
          <w:bCs/>
          <w:sz w:val="28"/>
          <w:szCs w:val="28"/>
        </w:rPr>
        <w:sectPr>
          <w:footerReference r:id="rId3" w:type="default"/>
          <w:pgSz w:w="11906" w:h="16838"/>
          <w:pgMar w:top="1440" w:right="1800" w:bottom="1440" w:left="1800" w:header="851" w:footer="992" w:gutter="0"/>
          <w:cols w:space="425" w:num="1"/>
          <w:docGrid w:type="lines" w:linePitch="312" w:charSpace="0"/>
        </w:sectPr>
      </w:pPr>
    </w:p>
    <w:p w14:paraId="56F61B13">
      <w:pPr>
        <w:pStyle w:val="3"/>
        <w:keepNext w:val="0"/>
        <w:keepLines w:val="0"/>
        <w:topLinePunct/>
        <w:spacing w:before="0" w:after="0" w:line="600" w:lineRule="exact"/>
        <w:contextualSpacing/>
        <w:jc w:val="center"/>
        <w:rPr>
          <w:rFonts w:ascii="Times New Roman" w:hAnsi="Times New Roman" w:eastAsia="黑体" w:cs="Times New Roman"/>
          <w:b w:val="0"/>
          <w:sz w:val="40"/>
          <w:szCs w:val="40"/>
        </w:rPr>
      </w:pPr>
      <w:bookmarkStart w:id="18" w:name="_Toc215674218"/>
      <w:bookmarkStart w:id="19" w:name="_Toc213281190"/>
      <w:r>
        <w:rPr>
          <w:rFonts w:hint="eastAsia" w:ascii="Times New Roman" w:hAnsi="Times New Roman" w:eastAsia="黑体" w:cs="Times New Roman"/>
          <w:b w:val="0"/>
          <w:sz w:val="40"/>
          <w:szCs w:val="40"/>
        </w:rPr>
        <w:t>1</w:t>
      </w:r>
      <w:bookmarkStart w:id="20" w:name="OLE_LINK4"/>
      <w:bookmarkStart w:id="21" w:name="OLE_LINK5"/>
      <w:r>
        <w:rPr>
          <w:rFonts w:ascii="Times New Roman" w:hAnsi="Times New Roman" w:eastAsia="黑体" w:cs="Times New Roman"/>
          <w:b w:val="0"/>
          <w:sz w:val="40"/>
          <w:szCs w:val="40"/>
        </w:rPr>
        <w:t xml:space="preserve"> </w:t>
      </w:r>
      <w:bookmarkEnd w:id="20"/>
      <w:bookmarkEnd w:id="21"/>
      <w:r>
        <w:rPr>
          <w:rFonts w:hint="eastAsia" w:ascii="Times New Roman" w:hAnsi="Times New Roman" w:eastAsia="黑体" w:cs="Times New Roman"/>
          <w:b w:val="0"/>
          <w:sz w:val="40"/>
          <w:szCs w:val="40"/>
        </w:rPr>
        <w:t>总则</w:t>
      </w:r>
      <w:bookmarkEnd w:id="18"/>
      <w:bookmarkEnd w:id="19"/>
    </w:p>
    <w:p w14:paraId="11E40383">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4201358B">
      <w:pPr>
        <w:widowControl/>
        <w:suppressLineNumbers/>
        <w:topLinePunct/>
        <w:spacing w:line="360" w:lineRule="auto"/>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1.0.1为降低新发重大疫情和突发事件对宝鸡市的潜在影响，整体提升宝鸡市高质量发展的安全韧性，指导“平急两用”旅游居住设施的全生命周期建设，制定本导则。</w:t>
      </w:r>
    </w:p>
    <w:p w14:paraId="517676BD">
      <w:pPr>
        <w:widowControl/>
        <w:suppressLineNumbers/>
        <w:wordWrap w:val="0"/>
        <w:topLinePunct/>
        <w:spacing w:line="360" w:lineRule="auto"/>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1.0.2 本导则主要适用于宝鸡市新建“平急两用”</w:t>
      </w:r>
      <w:bookmarkStart w:id="22" w:name="OLE_LINK8"/>
      <w:bookmarkStart w:id="23" w:name="OLE_LINK7"/>
      <w:bookmarkStart w:id="24" w:name="OLE_LINK17"/>
      <w:r>
        <w:rPr>
          <w:rFonts w:hint="eastAsia" w:ascii="Times New Roman" w:hAnsi="Times New Roman" w:eastAsia="方正仿宋_GB2312" w:cs="Times New Roman"/>
          <w:snapToGrid w:val="0"/>
          <w:kern w:val="0"/>
          <w:sz w:val="28"/>
          <w:szCs w:val="28"/>
        </w:rPr>
        <w:t>旅游居住设施</w:t>
      </w:r>
      <w:bookmarkEnd w:id="22"/>
      <w:bookmarkEnd w:id="23"/>
      <w:bookmarkEnd w:id="24"/>
      <w:r>
        <w:rPr>
          <w:rFonts w:hint="eastAsia" w:ascii="Times New Roman" w:hAnsi="Times New Roman" w:eastAsia="方正仿宋_GB2312" w:cs="Times New Roman"/>
          <w:snapToGrid w:val="0"/>
          <w:kern w:val="0"/>
          <w:sz w:val="28"/>
          <w:szCs w:val="28"/>
        </w:rPr>
        <w:t>。既有建筑经评估可改造利用为“平急两用”旅游居住设施的，参照本导则执行。</w:t>
      </w:r>
    </w:p>
    <w:p w14:paraId="240C5EE5">
      <w:pPr>
        <w:widowControl/>
        <w:suppressLineNumbers/>
        <w:wordWrap w:val="0"/>
        <w:topLinePunct/>
        <w:spacing w:line="360" w:lineRule="auto"/>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1.0.3 “平急两用”旅游居住设施“平时”应满足旅游居住运营功能，“急时”可转换为应急隔离设施。</w:t>
      </w:r>
    </w:p>
    <w:p w14:paraId="57D4116A">
      <w:pPr>
        <w:widowControl/>
        <w:suppressLineNumbers/>
        <w:wordWrap w:val="0"/>
        <w:topLinePunct/>
        <w:spacing w:line="360" w:lineRule="auto"/>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1.0.4</w:t>
      </w:r>
      <w:r>
        <w:rPr>
          <w:rFonts w:ascii="Times New Roman" w:hAnsi="Times New Roman" w:eastAsia="方正仿宋_GB2312" w:cs="Times New Roman"/>
          <w:snapToGrid w:val="0"/>
          <w:kern w:val="0"/>
          <w:sz w:val="28"/>
          <w:szCs w:val="28"/>
        </w:rPr>
        <w:t xml:space="preserve"> </w:t>
      </w:r>
      <w:r>
        <w:rPr>
          <w:rFonts w:hint="eastAsia" w:ascii="Times New Roman" w:hAnsi="Times New Roman" w:eastAsia="方正仿宋_GB2312" w:cs="Times New Roman"/>
          <w:snapToGrid w:val="0"/>
          <w:kern w:val="0"/>
          <w:sz w:val="28"/>
          <w:szCs w:val="28"/>
        </w:rPr>
        <w:t>新建建筑应按现行国家规范标准执行，既有建筑改建、扩建时，宜按现行国家标准执行，确有困难时不得低于原建成时的技术标准</w:t>
      </w:r>
      <w:r>
        <w:rPr>
          <w:rFonts w:ascii="Times New Roman" w:hAnsi="Times New Roman" w:eastAsia="方正仿宋_GB2312" w:cs="Times New Roman"/>
          <w:snapToGrid w:val="0"/>
          <w:kern w:val="0"/>
          <w:sz w:val="28"/>
          <w:szCs w:val="28"/>
        </w:rPr>
        <w:t>。</w:t>
      </w:r>
    </w:p>
    <w:p w14:paraId="328DEE75">
      <w:pPr>
        <w:widowControl/>
        <w:suppressLineNumbers/>
        <w:wordWrap w:val="0"/>
        <w:topLinePunct/>
        <w:spacing w:line="360" w:lineRule="auto"/>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1.0.5 “平急两用”旅游居住设施建设应坚持经济合理、绿色低碳、安全运维原则，并宜远近期结合。</w:t>
      </w:r>
    </w:p>
    <w:p w14:paraId="37F3C36E">
      <w:pPr>
        <w:widowControl/>
        <w:suppressLineNumbers/>
        <w:topLinePunct/>
        <w:spacing w:line="360" w:lineRule="auto"/>
        <w:jc w:val="left"/>
        <w:rPr>
          <w:rFonts w:ascii="Times New Roman" w:hAnsi="Times New Roman" w:eastAsia="方正仿宋_GB2312" w:cs="Times New Roman"/>
          <w:snapToGrid w:val="0"/>
          <w:kern w:val="0"/>
          <w:sz w:val="28"/>
          <w:szCs w:val="28"/>
        </w:rPr>
      </w:pPr>
      <w:r>
        <w:rPr>
          <w:rFonts w:hint="eastAsia" w:ascii="Times New Roman" w:hAnsi="Times New Roman" w:eastAsia="方正仿宋_GB2312" w:cs="Times New Roman"/>
          <w:snapToGrid w:val="0"/>
          <w:kern w:val="0"/>
          <w:sz w:val="28"/>
          <w:szCs w:val="28"/>
        </w:rPr>
        <w:t>1.0.6 “平急两用”旅游居住设施的建设除应符合本导则外，</w:t>
      </w:r>
      <w:bookmarkStart w:id="25" w:name="OLE_LINK22"/>
      <w:r>
        <w:rPr>
          <w:rFonts w:hint="eastAsia" w:ascii="Times New Roman" w:hAnsi="Times New Roman" w:eastAsia="方正仿宋_GB2312" w:cs="Times New Roman"/>
          <w:snapToGrid w:val="0"/>
          <w:kern w:val="0"/>
          <w:sz w:val="28"/>
          <w:szCs w:val="28"/>
        </w:rPr>
        <w:t>尚应符合国家、省、市现行相关的法律法规和规范、标准。</w:t>
      </w:r>
      <w:bookmarkEnd w:id="25"/>
    </w:p>
    <w:p w14:paraId="441F69AA">
      <w:pPr>
        <w:widowControl/>
        <w:suppressLineNumbers/>
        <w:topLinePunct/>
        <w:spacing w:line="360" w:lineRule="auto"/>
        <w:jc w:val="left"/>
        <w:rPr>
          <w:rFonts w:ascii="宋体" w:hAnsi="宋体" w:eastAsia="宋体"/>
          <w:sz w:val="28"/>
          <w:szCs w:val="28"/>
        </w:rPr>
      </w:pPr>
      <w:r>
        <w:rPr>
          <w:rFonts w:ascii="宋体" w:hAnsi="宋体" w:eastAsia="宋体"/>
          <w:sz w:val="28"/>
          <w:szCs w:val="28"/>
        </w:rPr>
        <w:br w:type="page"/>
      </w:r>
    </w:p>
    <w:p w14:paraId="32BA3B93">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r>
        <w:rPr>
          <w:rFonts w:ascii="Times New Roman" w:hAnsi="Times New Roman" w:eastAsia="黑体" w:cs="Times New Roman"/>
          <w:b w:val="0"/>
          <w:snapToGrid w:val="0"/>
          <w:kern w:val="0"/>
          <w:sz w:val="40"/>
          <w:szCs w:val="40"/>
          <w:lang w:eastAsia="en-US"/>
        </w:rPr>
        <w:t xml:space="preserve"> </w:t>
      </w:r>
      <w:bookmarkStart w:id="26" w:name="_Toc215674219"/>
      <w:r>
        <w:rPr>
          <w:rFonts w:hint="eastAsia" w:ascii="Times New Roman" w:hAnsi="Times New Roman" w:eastAsia="黑体" w:cs="Times New Roman"/>
          <w:b w:val="0"/>
          <w:snapToGrid w:val="0"/>
          <w:kern w:val="0"/>
          <w:sz w:val="40"/>
          <w:szCs w:val="40"/>
          <w:lang w:eastAsia="en-US"/>
        </w:rPr>
        <w:t xml:space="preserve">2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术</w:t>
      </w:r>
      <w:r>
        <w:rPr>
          <w:rFonts w:hint="eastAsia" w:ascii="Times New Roman" w:hAnsi="Times New Roman" w:eastAsia="黑体" w:cs="Times New Roman"/>
          <w:b w:val="0"/>
          <w:snapToGrid w:val="0"/>
          <w:kern w:val="0"/>
          <w:sz w:val="40"/>
          <w:szCs w:val="40"/>
        </w:rPr>
        <w:t>语</w:t>
      </w:r>
      <w:bookmarkEnd w:id="26"/>
    </w:p>
    <w:p w14:paraId="46C91B3E">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r>
        <w:rPr>
          <w:rFonts w:hint="eastAsia" w:ascii="Times New Roman" w:hAnsi="Times New Roman" w:eastAsia="黑体" w:cs="Times New Roman"/>
          <w:b w:val="0"/>
          <w:snapToGrid w:val="0"/>
          <w:kern w:val="0"/>
          <w:sz w:val="40"/>
          <w:szCs w:val="40"/>
          <w:lang w:eastAsia="en-US"/>
        </w:rPr>
        <w:t xml:space="preserve"> </w:t>
      </w:r>
    </w:p>
    <w:p w14:paraId="516BF48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 xml:space="preserve">2.0.1 </w:t>
      </w:r>
      <w:r>
        <w:rPr>
          <w:rFonts w:ascii="Times New Roman" w:hAnsi="Times New Roman" w:eastAsia="方正仿宋_GB2312" w:cs="Times New Roman"/>
          <w:color w:val="auto"/>
        </w:rPr>
        <w:t>“平急两用”旅游居住设施</w:t>
      </w:r>
    </w:p>
    <w:p w14:paraId="7D81BF2E">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“平时”服务于居民旅游、康养、休闲等居住需求，“急时”可迅速腾挪、转为隔离居住空间的设施，包括乡村集中连片民宿设施、山区旅游酒店设施、高速及国省干线公路沿线服务区周边旅居集散基地等。</w:t>
      </w:r>
    </w:p>
    <w:p w14:paraId="0EDD479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2</w:t>
      </w:r>
      <w:r>
        <w:rPr>
          <w:rFonts w:hint="eastAsia" w:ascii="Times New Roman" w:hAnsi="Times New Roman" w:eastAsia="方正仿宋_GB2312" w:cs="Times New Roman"/>
          <w:color w:val="auto"/>
        </w:rPr>
        <w:t xml:space="preserve"> 三区两通道</w:t>
      </w:r>
    </w:p>
    <w:p w14:paraId="141F8774">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指为满足医学隔离要求的功能布局及工艺流程。三区指隔离区、工作准备区、缓冲区（卫生通过区）；两通道指隔离人员通道和工作人员通道。</w:t>
      </w:r>
    </w:p>
    <w:p w14:paraId="21F16A8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3</w:t>
      </w:r>
      <w:r>
        <w:rPr>
          <w:rFonts w:hint="eastAsia" w:ascii="Times New Roman" w:hAnsi="Times New Roman" w:eastAsia="方正仿宋_GB2312" w:cs="Times New Roman"/>
          <w:color w:val="auto"/>
        </w:rPr>
        <w:t xml:space="preserve"> 隔离安置区</w:t>
      </w:r>
    </w:p>
    <w:p w14:paraId="3547ABC4">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隔离人员居住限制区域及部分污染区。包括隔离入口接待区、隔离房间（带独立卫生间）、隔离通道、垃圾转运通道、垃圾暂存间、污水处理等配套设施。</w:t>
      </w:r>
    </w:p>
    <w:p w14:paraId="333029F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4</w:t>
      </w:r>
      <w:r>
        <w:rPr>
          <w:rFonts w:hint="eastAsia" w:ascii="Times New Roman" w:hAnsi="Times New Roman" w:eastAsia="方正仿宋_GB2312" w:cs="Times New Roman"/>
          <w:color w:val="auto"/>
        </w:rPr>
        <w:t xml:space="preserve"> 工作准备区</w:t>
      </w:r>
    </w:p>
    <w:p w14:paraId="0D272080">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工作人员工作和生活的区域。包括工作人员办公室（包含但不限于心理咨询室、警卫室、医务室等）、工作人员通道、值班室、会议室、物资库房、设备机房、开水间、备餐间、宿舍等相关配套用房。</w:t>
      </w:r>
    </w:p>
    <w:p w14:paraId="0D1C47C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color w:val="auto"/>
        </w:rPr>
      </w:pPr>
      <w:r>
        <w:rPr>
          <w:rFonts w:hint="eastAsia" w:ascii="Times New Roman" w:hAnsi="Times New Roman" w:eastAsia="方正仿宋_GB2312" w:cs="Times New Roman"/>
          <w:color w:val="auto"/>
        </w:rPr>
        <w:t>2.0.</w:t>
      </w:r>
      <w:r>
        <w:rPr>
          <w:rFonts w:ascii="Times New Roman" w:hAnsi="Times New Roman" w:eastAsia="方正仿宋_GB2312" w:cs="Times New Roman"/>
          <w:color w:val="auto"/>
        </w:rPr>
        <w:t>5</w:t>
      </w:r>
      <w:r>
        <w:rPr>
          <w:rFonts w:hint="eastAsia" w:ascii="Times New Roman" w:hAnsi="Times New Roman" w:eastAsia="方正仿宋_GB2312" w:cs="Times New Roman"/>
          <w:color w:val="auto"/>
        </w:rPr>
        <w:t xml:space="preserve"> 缓冲区</w:t>
      </w:r>
    </w:p>
    <w:p w14:paraId="441CA4F5">
      <w:pPr>
        <w:pStyle w:val="5"/>
        <w:keepNext w:val="0"/>
        <w:keepLines w:val="0"/>
        <w:kinsoku/>
        <w:topLinePunct/>
        <w:autoSpaceDE/>
        <w:autoSpaceDN/>
        <w:snapToGrid/>
        <w:spacing w:before="0" w:after="0" w:line="600" w:lineRule="exact"/>
        <w:ind w:firstLine="560" w:firstLineChars="200"/>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位于隔离区与工作准备区之间，供工作人员由工作准备区进入隔离区、由隔离区返回工作准备区时开展必要卫生安全准备工作的区域，包括工作人员换鞋、更衣、洗手、淋浴、穿戴、卸去防护用品等的操作空间，以及物资由工作准备区进入隔离区的通道。</w:t>
      </w:r>
    </w:p>
    <w:p w14:paraId="79259FB5">
      <w:pPr>
        <w:widowControl/>
        <w:suppressLineNumbers/>
        <w:wordWrap w:val="0"/>
        <w:topLinePunct/>
        <w:spacing w:line="360" w:lineRule="auto"/>
        <w:rPr>
          <w:rFonts w:ascii="宋体" w:hAnsi="宋体" w:eastAsia="宋体"/>
          <w:sz w:val="28"/>
          <w:szCs w:val="28"/>
        </w:rPr>
      </w:pPr>
      <w:r>
        <w:rPr>
          <w:rFonts w:ascii="宋体" w:hAnsi="宋体" w:eastAsia="宋体"/>
          <w:sz w:val="28"/>
          <w:szCs w:val="28"/>
        </w:rPr>
        <w:br w:type="page"/>
      </w:r>
    </w:p>
    <w:p w14:paraId="2791C004">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27" w:name="_Toc215674220"/>
      <w:r>
        <w:rPr>
          <w:rFonts w:hint="eastAsia" w:ascii="Times New Roman" w:hAnsi="Times New Roman" w:eastAsia="黑体" w:cs="Times New Roman"/>
          <w:b w:val="0"/>
          <w:snapToGrid w:val="0"/>
          <w:kern w:val="0"/>
          <w:sz w:val="40"/>
          <w:szCs w:val="40"/>
          <w:lang w:eastAsia="en-US"/>
        </w:rPr>
        <w:t xml:space="preserve">3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基本要</w:t>
      </w:r>
      <w:r>
        <w:rPr>
          <w:rFonts w:hint="eastAsia" w:ascii="Times New Roman" w:hAnsi="Times New Roman" w:eastAsia="黑体" w:cs="Times New Roman"/>
          <w:b w:val="0"/>
          <w:snapToGrid w:val="0"/>
          <w:kern w:val="0"/>
          <w:sz w:val="40"/>
          <w:szCs w:val="40"/>
        </w:rPr>
        <w:t>求</w:t>
      </w:r>
      <w:bookmarkEnd w:id="27"/>
    </w:p>
    <w:p w14:paraId="56AF7B83">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r>
        <w:rPr>
          <w:rFonts w:hint="eastAsia" w:ascii="Times New Roman" w:hAnsi="Times New Roman" w:eastAsia="黑体" w:cs="Times New Roman"/>
          <w:b w:val="0"/>
          <w:snapToGrid w:val="0"/>
          <w:kern w:val="0"/>
          <w:sz w:val="40"/>
          <w:szCs w:val="40"/>
          <w:lang w:eastAsia="en-US"/>
        </w:rPr>
        <w:t xml:space="preserve"> </w:t>
      </w:r>
    </w:p>
    <w:p w14:paraId="0C10D4B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 “平急两用”旅游居住设施宜独立成区，不应与其他非“平急两用”功能建筑组合建设。</w:t>
      </w:r>
    </w:p>
    <w:p w14:paraId="00C6D93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3.0.2 “平急两用”旅游居住设施应符合“三区两通道”要求，并满足国家及地方医学隔离观察的相关工作流程，做到环境安全、生物安全、结构安全、消防安全、质量可靠和经济合理。</w:t>
      </w:r>
    </w:p>
    <w:p w14:paraId="03A0A2D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3.0.3 </w:t>
      </w:r>
      <w:r>
        <w:rPr>
          <w:rFonts w:ascii="Times New Roman" w:hAnsi="Times New Roman" w:eastAsia="方正仿宋_GB2312" w:cs="Times New Roman"/>
          <w:b w:val="0"/>
          <w:bCs w:val="0"/>
          <w:color w:val="auto"/>
        </w:rPr>
        <w:t>“平急两用”旅游居住建筑在出现应急情况时，对建筑布局、机电设备、结构构件等主体部分不做较大变动，仅对局部空间、人员流线、设备运行方式、管控措施等方面做适当调整、补充或改造，以满足应急功能要求。</w:t>
      </w:r>
    </w:p>
    <w:p w14:paraId="0C6841D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3.0.4 既有建筑进行应急转换改造前，应对场地和建筑物按照“急时”使用功能要求进行评估，并对建筑物的安全性进行检测，确保改造后符合“急时”使用要求。</w:t>
      </w:r>
    </w:p>
    <w:p w14:paraId="3F41916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3.0.5 </w:t>
      </w:r>
      <w:r>
        <w:rPr>
          <w:rFonts w:ascii="Times New Roman" w:hAnsi="Times New Roman" w:eastAsia="方正仿宋_GB2312" w:cs="Times New Roman"/>
          <w:b w:val="0"/>
          <w:bCs w:val="0"/>
          <w:color w:val="auto"/>
        </w:rPr>
        <w:t>转换分级</w:t>
      </w:r>
      <w:r>
        <w:rPr>
          <w:rFonts w:hint="eastAsia" w:ascii="Times New Roman" w:hAnsi="Times New Roman" w:eastAsia="方正仿宋_GB2312" w:cs="Times New Roman"/>
          <w:b w:val="0"/>
          <w:bCs w:val="0"/>
          <w:color w:val="auto"/>
        </w:rPr>
        <w:t>应</w:t>
      </w:r>
      <w:r>
        <w:rPr>
          <w:rFonts w:ascii="Times New Roman" w:hAnsi="Times New Roman" w:eastAsia="方正仿宋_GB2312" w:cs="Times New Roman"/>
          <w:b w:val="0"/>
          <w:bCs w:val="0"/>
          <w:color w:val="auto"/>
        </w:rPr>
        <w:t>根据应急情况的特点，“平急两用”旅游居住区建筑的“平急”转换按本导则的不同要求分为两级标准，即“一级转换标准”和“二级转换标准”。</w:t>
      </w:r>
    </w:p>
    <w:p w14:paraId="5907DDB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“一级转换标准”以应对具有传染性的突发事件为目标；“二级转换标准”以应对非传染性的突发事件为目标。“一级转换标准”在满足“平时”相关要求基础上，应按照本导则全文执行。</w:t>
      </w:r>
    </w:p>
    <w:p w14:paraId="7037749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“二级转换标准”在满足“平时”相关要求基础上，应按照本导则第一</w:t>
      </w:r>
      <w:r>
        <w:rPr>
          <w:rFonts w:hint="eastAsia" w:ascii="Times New Roman" w:hAnsi="Times New Roman" w:eastAsia="方正仿宋_GB2312" w:cs="Times New Roman"/>
          <w:b w:val="0"/>
          <w:bCs w:val="0"/>
          <w:color w:val="auto"/>
        </w:rPr>
        <w:t>至</w:t>
      </w:r>
      <w:r>
        <w:rPr>
          <w:rFonts w:ascii="Times New Roman" w:hAnsi="Times New Roman" w:eastAsia="方正仿宋_GB2312" w:cs="Times New Roman"/>
          <w:b w:val="0"/>
          <w:bCs w:val="0"/>
          <w:color w:val="auto"/>
        </w:rPr>
        <w:t>六章、第十一章要求执行。“平急转换”设计均应按“一级转换标准”执行。</w:t>
      </w:r>
    </w:p>
    <w:p w14:paraId="1FCBEE2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3.0.6 “平急两用”旅游居住设施“急时”使用完毕后，应能恢复“平时”使用功能。 </w:t>
      </w:r>
    </w:p>
    <w:p w14:paraId="5007FCF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3.0.7 当酒店功能和隔离场所功能在用电、供暖、用水负荷及消防疏散等方面对应不同设计标准时，应同时满足“急时”和“平时”使用要求，编制平急转换设计专篇。</w:t>
      </w:r>
    </w:p>
    <w:p w14:paraId="419F26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3.0.8 “平急两用”旅游居住设施应按照酒店的要求进行无障碍设计。主要出入口应为无障碍出入口；当条件受限时，至少隔离人员出入口、物资入口、缓冲区物资入口应设置为无障碍出入口，并宜在主要出入口设置引导标识。</w:t>
      </w:r>
    </w:p>
    <w:p w14:paraId="56B0340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w:t>
      </w:r>
      <w:r>
        <w:rPr>
          <w:rFonts w:ascii="Times New Roman" w:hAnsi="Times New Roman" w:eastAsia="方正仿宋_GB2312" w:cs="Times New Roman"/>
          <w:b w:val="0"/>
          <w:bCs w:val="0"/>
          <w:color w:val="auto"/>
        </w:rPr>
        <w:t>9</w:t>
      </w:r>
      <w:r>
        <w:rPr>
          <w:rFonts w:hint="eastAsia" w:ascii="Times New Roman" w:hAnsi="Times New Roman" w:eastAsia="方正仿宋_GB2312" w:cs="Times New Roman"/>
          <w:b w:val="0"/>
          <w:bCs w:val="0"/>
          <w:color w:val="auto"/>
        </w:rPr>
        <w:t xml:space="preserve"> “平急两用”旅游居住设施应分别具备“平时”和“急时”两套标识系统。“平时”标识系统应与建筑室内装修、建筑幕墙、景观一体化设计。当转换成“急时”状态时，切换为“急时”标识系统加以引导、管理，应明确指示隔离人员入住、转运、离开的流线和工作人员工作准备、巡视的流线。</w:t>
      </w:r>
    </w:p>
    <w:p w14:paraId="1AADD82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 新建“平急两用”旅游居住设施“急时”隔离房间的空调系统宜采用各室独立空调形式，既有旅游居住设施改造可根据具体情况而定。</w:t>
      </w:r>
    </w:p>
    <w:p w14:paraId="78C441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 xml:space="preserve"> 有条件的“平急两用”旅游居住设施宜充分利用人工智能应用技术。“平时”提供高科技特色客房服务，“急时”实现“无接触式”体温监测及人脸识别、心理疏导、场所消毒、重点人群体征监测和污物跟踪管理等安全防疫功能。</w:t>
      </w:r>
    </w:p>
    <w:p w14:paraId="38256BD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3.0.1</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新建“平急两用”</w:t>
      </w:r>
      <w:bookmarkStart w:id="28" w:name="OLE_LINK25"/>
      <w:r>
        <w:rPr>
          <w:rFonts w:hint="eastAsia" w:ascii="Times New Roman" w:hAnsi="Times New Roman" w:eastAsia="方正仿宋_GB2312" w:cs="Times New Roman"/>
          <w:b w:val="0"/>
          <w:bCs w:val="0"/>
          <w:color w:val="auto"/>
        </w:rPr>
        <w:t>旅游居住设施</w:t>
      </w:r>
      <w:bookmarkEnd w:id="28"/>
      <w:r>
        <w:rPr>
          <w:rFonts w:hint="eastAsia" w:ascii="Times New Roman" w:hAnsi="Times New Roman" w:eastAsia="方正仿宋_GB2312" w:cs="Times New Roman"/>
          <w:b w:val="0"/>
          <w:bCs w:val="0"/>
          <w:color w:val="auto"/>
        </w:rPr>
        <w:t>在“平时”与“急时”的使用过程中均</w:t>
      </w:r>
      <w:bookmarkStart w:id="29" w:name="OLE_LINK26"/>
      <w:bookmarkStart w:id="30" w:name="OLE_LINK27"/>
      <w:r>
        <w:rPr>
          <w:rFonts w:hint="eastAsia" w:ascii="Times New Roman" w:hAnsi="Times New Roman" w:eastAsia="方正仿宋_GB2312" w:cs="Times New Roman"/>
          <w:b w:val="0"/>
          <w:bCs w:val="0"/>
          <w:color w:val="auto"/>
        </w:rPr>
        <w:t>应符合《建筑设计防火规范》</w:t>
      </w:r>
      <w:r>
        <w:rPr>
          <w:rFonts w:ascii="Times New Roman" w:hAnsi="Times New Roman" w:eastAsia="方正仿宋_GB2312" w:cs="Times New Roman"/>
          <w:b w:val="0"/>
          <w:bCs w:val="0"/>
          <w:color w:val="auto"/>
        </w:rPr>
        <w:t>GB 50016</w:t>
      </w:r>
      <w:r>
        <w:rPr>
          <w:rFonts w:hint="eastAsia" w:ascii="Times New Roman" w:hAnsi="Times New Roman" w:eastAsia="方正仿宋_GB2312" w:cs="Times New Roman"/>
          <w:b w:val="0"/>
          <w:bCs w:val="0"/>
          <w:color w:val="auto"/>
        </w:rPr>
        <w:t>、《消防设施通用规范》</w:t>
      </w:r>
      <w:r>
        <w:rPr>
          <w:rFonts w:ascii="Times New Roman" w:hAnsi="Times New Roman" w:eastAsia="方正仿宋_GB2312" w:cs="Times New Roman"/>
          <w:b w:val="0"/>
          <w:bCs w:val="0"/>
          <w:color w:val="auto"/>
        </w:rPr>
        <w:t>GB 55036</w:t>
      </w:r>
      <w:r>
        <w:rPr>
          <w:rFonts w:hint="eastAsia" w:ascii="Times New Roman" w:hAnsi="Times New Roman" w:eastAsia="方正仿宋_GB2312" w:cs="Times New Roman"/>
          <w:b w:val="0"/>
          <w:bCs w:val="0"/>
          <w:color w:val="auto"/>
        </w:rPr>
        <w:t>、《建筑防火通用规范》</w:t>
      </w:r>
      <w:r>
        <w:rPr>
          <w:rFonts w:ascii="Times New Roman" w:hAnsi="Times New Roman" w:eastAsia="方正仿宋_GB2312" w:cs="Times New Roman"/>
          <w:b w:val="0"/>
          <w:bCs w:val="0"/>
          <w:color w:val="auto"/>
        </w:rPr>
        <w:t>GB 55037</w:t>
      </w:r>
      <w:r>
        <w:rPr>
          <w:rFonts w:hint="eastAsia" w:ascii="Times New Roman" w:hAnsi="Times New Roman" w:eastAsia="方正仿宋_GB2312" w:cs="Times New Roman"/>
          <w:b w:val="0"/>
          <w:bCs w:val="0"/>
          <w:color w:val="auto"/>
        </w:rPr>
        <w:t>、《建筑内部装修设计防火规范》</w:t>
      </w:r>
      <w:r>
        <w:rPr>
          <w:rFonts w:ascii="Times New Roman" w:hAnsi="Times New Roman" w:eastAsia="方正仿宋_GB2312" w:cs="Times New Roman"/>
          <w:b w:val="0"/>
          <w:bCs w:val="0"/>
          <w:color w:val="auto"/>
        </w:rPr>
        <w:t>GB 50222</w:t>
      </w:r>
      <w:r>
        <w:rPr>
          <w:rFonts w:hint="eastAsia" w:ascii="Times New Roman" w:hAnsi="Times New Roman" w:eastAsia="方正仿宋_GB2312" w:cs="Times New Roman"/>
          <w:b w:val="0"/>
          <w:bCs w:val="0"/>
          <w:color w:val="auto"/>
        </w:rPr>
        <w:t>、《建筑防火封堵应用技术标准》</w:t>
      </w:r>
      <w:r>
        <w:rPr>
          <w:rFonts w:ascii="Times New Roman" w:hAnsi="Times New Roman" w:eastAsia="方正仿宋_GB2312" w:cs="Times New Roman"/>
          <w:b w:val="0"/>
          <w:bCs w:val="0"/>
          <w:color w:val="auto"/>
        </w:rPr>
        <w:t>GB/T 51410</w:t>
      </w:r>
      <w:r>
        <w:rPr>
          <w:rFonts w:hint="eastAsia" w:ascii="Times New Roman" w:hAnsi="Times New Roman" w:eastAsia="方正仿宋_GB2312" w:cs="Times New Roman"/>
          <w:b w:val="0"/>
          <w:bCs w:val="0"/>
          <w:color w:val="auto"/>
        </w:rPr>
        <w:t>、《陕西省建筑设计防火、审查、验收疑难问题技术指南》等现行工程建设消防技术规范、标准。既有建筑改造利用为“平急两用”旅游居住设施，应符合《既有建筑维护与改造通用规范》</w:t>
      </w:r>
      <w:r>
        <w:rPr>
          <w:rFonts w:ascii="Times New Roman" w:hAnsi="Times New Roman" w:eastAsia="方正仿宋_GB2312" w:cs="Times New Roman"/>
          <w:b w:val="0"/>
          <w:bCs w:val="0"/>
          <w:color w:val="auto"/>
        </w:rPr>
        <w:t>GB 55022</w:t>
      </w:r>
      <w:r>
        <w:rPr>
          <w:rFonts w:hint="eastAsia" w:ascii="Times New Roman" w:hAnsi="Times New Roman" w:eastAsia="方正仿宋_GB2312" w:cs="Times New Roman"/>
          <w:b w:val="0"/>
          <w:bCs w:val="0"/>
          <w:color w:val="auto"/>
        </w:rPr>
        <w:t>等相关规范及政策规定。</w:t>
      </w:r>
      <w:bookmarkEnd w:id="29"/>
      <w:bookmarkEnd w:id="30"/>
    </w:p>
    <w:p w14:paraId="47DC0E93">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60051AE1">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1" w:name="_Toc215674221"/>
      <w:r>
        <w:rPr>
          <w:rFonts w:hint="eastAsia" w:ascii="Times New Roman" w:hAnsi="Times New Roman" w:eastAsia="黑体" w:cs="Times New Roman"/>
          <w:b w:val="0"/>
          <w:snapToGrid w:val="0"/>
          <w:kern w:val="0"/>
          <w:sz w:val="40"/>
          <w:szCs w:val="40"/>
          <w:lang w:eastAsia="en-US"/>
        </w:rPr>
        <w:t>4 选址要</w:t>
      </w:r>
      <w:r>
        <w:rPr>
          <w:rFonts w:hint="eastAsia" w:ascii="Times New Roman" w:hAnsi="Times New Roman" w:eastAsia="黑体" w:cs="Times New Roman"/>
          <w:b w:val="0"/>
          <w:snapToGrid w:val="0"/>
          <w:kern w:val="0"/>
          <w:sz w:val="40"/>
          <w:szCs w:val="40"/>
        </w:rPr>
        <w:t>求</w:t>
      </w:r>
      <w:bookmarkEnd w:id="31"/>
    </w:p>
    <w:p w14:paraId="1D934E8A">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55613AF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 旅游基础设施基地选址</w:t>
      </w:r>
      <w:r>
        <w:rPr>
          <w:rFonts w:hint="eastAsia" w:ascii="Times New Roman" w:hAnsi="Times New Roman" w:eastAsia="方正仿宋_GB2312" w:cs="Times New Roman"/>
          <w:b w:val="0"/>
          <w:bCs w:val="0"/>
          <w:color w:val="auto"/>
        </w:rPr>
        <w:t>和布局应符合宝鸡市国土空间总体规划、详细规划、专项规划等法定规划，划定相应控制线管理，保障其用地规模和布局合理性。</w:t>
      </w:r>
    </w:p>
    <w:p w14:paraId="2713573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 xml:space="preserve">4.0.2 “平急两用”旅游居住设施选址应符合国家现行消防安全、抗震防灾、城乡规划、防疫设施规划、环境保护等标准要求。 </w:t>
      </w:r>
    </w:p>
    <w:p w14:paraId="396266D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4.0.3 “平急两用”旅游居住设施宜利用</w:t>
      </w:r>
      <w:r>
        <w:rPr>
          <w:rFonts w:hint="eastAsia" w:ascii="Times New Roman" w:hAnsi="Times New Roman" w:eastAsia="方正仿宋_GB2312" w:cs="Times New Roman"/>
          <w:b w:val="0"/>
          <w:bCs w:val="0"/>
          <w:color w:val="auto"/>
        </w:rPr>
        <w:t>宝鸡</w:t>
      </w:r>
      <w:r>
        <w:rPr>
          <w:rFonts w:ascii="Times New Roman" w:hAnsi="Times New Roman" w:eastAsia="方正仿宋_GB2312" w:cs="Times New Roman"/>
          <w:b w:val="0"/>
          <w:bCs w:val="0"/>
          <w:color w:val="auto"/>
        </w:rPr>
        <w:t>市的存量建筑或低效用地建设。</w:t>
      </w:r>
    </w:p>
    <w:p w14:paraId="7700777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4.0.4 “平急两用”旅游居住设施应位于市政配套设施较齐</w:t>
      </w:r>
      <w:r>
        <w:rPr>
          <w:rFonts w:hint="eastAsia" w:ascii="Times New Roman" w:hAnsi="Times New Roman" w:eastAsia="方正仿宋_GB2312" w:cs="Times New Roman"/>
          <w:b w:val="0"/>
          <w:bCs w:val="0"/>
          <w:color w:val="auto"/>
        </w:rPr>
        <w:t>全</w:t>
      </w:r>
      <w:r>
        <w:rPr>
          <w:rFonts w:ascii="Times New Roman" w:hAnsi="Times New Roman" w:eastAsia="方正仿宋_GB2312" w:cs="Times New Roman"/>
          <w:b w:val="0"/>
          <w:bCs w:val="0"/>
          <w:color w:val="auto"/>
        </w:rPr>
        <w:t>、交通便利、环境安静等条件良好的地段。</w:t>
      </w:r>
    </w:p>
    <w:p w14:paraId="0DA0FFD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4.0.5 “平急两用”旅游居住设施应选择在相对独立、环境卫生条件良好的地段，应远离易燃、易爆产品生产、储存区域及存在卫生污染风险的生产加工区域，周围环境的空气、土壤、水体等不应对人体构成危害。</w:t>
      </w:r>
    </w:p>
    <w:p w14:paraId="3AB2FFD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4.0.6 “平急两用”旅游居住设施场地高程不应低于城市防洪和内涝防治确定的控制标高，并应兼顾场地雨水收集与排放，调蓄雨水、减少径流外排。</w:t>
      </w:r>
    </w:p>
    <w:p w14:paraId="08D5C81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4.0.7 “平急两用”旅游居住设施应选择在地质灾害为低风险的地段，并应避开断层、破碎带、不稳定边坡等。对建筑物有潜在威胁或直接危害的滑坡、泥石流、崩塌及岩溶、土洞强烈发育地段，不应选作建设场地。</w:t>
      </w:r>
    </w:p>
    <w:p w14:paraId="4EC1FBA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4.0.8 为保障“平时”运营可持续，“平急两用”旅游居住设施宜优先选择旅游资源丰富、风景优美的景区作为场址。</w:t>
      </w:r>
    </w:p>
    <w:p w14:paraId="73F994B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4.0.9 “平急两用”旅游居住设施宜与入境口岸及传染病医院、定点救治医院等医疗机构有便捷的交通路线。</w:t>
      </w:r>
    </w:p>
    <w:p w14:paraId="6774143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4.0.10 “平急两用”旅游居住设施应交通便捷，</w:t>
      </w:r>
      <w:r>
        <w:rPr>
          <w:rFonts w:hint="eastAsia" w:ascii="Times New Roman" w:hAnsi="Times New Roman" w:eastAsia="方正仿宋_GB2312" w:cs="Times New Roman"/>
          <w:b w:val="0"/>
          <w:bCs w:val="0"/>
          <w:color w:val="auto"/>
        </w:rPr>
        <w:t>并</w:t>
      </w:r>
      <w:r>
        <w:rPr>
          <w:rFonts w:ascii="Times New Roman" w:hAnsi="Times New Roman" w:eastAsia="方正仿宋_GB2312" w:cs="Times New Roman"/>
          <w:b w:val="0"/>
          <w:bCs w:val="0"/>
          <w:color w:val="auto"/>
        </w:rPr>
        <w:t>设置独立出入口。</w:t>
      </w:r>
    </w:p>
    <w:p w14:paraId="256CBF8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4.0.11 “平急两用”旅游居住设施不得在饮用水源保护区内，并尽量远离饮用水源保护区。</w:t>
      </w:r>
    </w:p>
    <w:p w14:paraId="37C9586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4.0.12 “平急两用”旅游居住设施应远离人口密集区域以及幼儿园、学校、老年人照护设施等易感人群场所。</w:t>
      </w:r>
    </w:p>
    <w:p w14:paraId="3D102BD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4.0.13 隔离区内的建筑及设施，与区外周边相邻建筑之间的卫生间距不应少于20米，宜采用绿化带进行隔离。</w:t>
      </w:r>
    </w:p>
    <w:p w14:paraId="49BE05AC">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71B23CE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2" w:name="_Toc215674222"/>
      <w:r>
        <w:rPr>
          <w:rFonts w:hint="eastAsia" w:ascii="Times New Roman" w:hAnsi="Times New Roman" w:eastAsia="黑体" w:cs="Times New Roman"/>
          <w:b w:val="0"/>
          <w:snapToGrid w:val="0"/>
          <w:kern w:val="0"/>
          <w:sz w:val="40"/>
          <w:szCs w:val="40"/>
          <w:lang w:eastAsia="en-US"/>
        </w:rPr>
        <w:t xml:space="preserve">5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总平面设</w:t>
      </w:r>
      <w:r>
        <w:rPr>
          <w:rFonts w:hint="eastAsia" w:ascii="Times New Roman" w:hAnsi="Times New Roman" w:eastAsia="黑体" w:cs="Times New Roman"/>
          <w:b w:val="0"/>
          <w:snapToGrid w:val="0"/>
          <w:kern w:val="0"/>
          <w:sz w:val="40"/>
          <w:szCs w:val="40"/>
        </w:rPr>
        <w:t>计</w:t>
      </w:r>
      <w:bookmarkEnd w:id="32"/>
    </w:p>
    <w:p w14:paraId="42D5FE9C">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1222C79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 总平面布局应符合功能分区明确、各区相对独立、交通流线清晰的原则。</w:t>
      </w:r>
    </w:p>
    <w:p w14:paraId="3581E98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5.0.2 旅游居住建筑规模较大时，宜分设若干独栋建筑，便于分级响应。</w:t>
      </w:r>
    </w:p>
    <w:p w14:paraId="1E3AB3C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5.0.3 旅游居住建筑急时宜按总平面划分“三区两通道”，各区之间的边界应有安全物理隔断及明显标识。</w:t>
      </w:r>
    </w:p>
    <w:p w14:paraId="4060315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5.0.4 急时场地出入口不应少于2处。当条件受限，在地块同侧设置时，出入口间距不应小于10米。隔离区人员和工作准备区人员出入口应分开设置。污物出口宜独立设置。 </w:t>
      </w:r>
    </w:p>
    <w:p w14:paraId="76D5D09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5.0.5 隔离人员出入口附近应设置车辆停靠和车辆消杀场所。</w:t>
      </w:r>
    </w:p>
    <w:p w14:paraId="3CCBB92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5.0.6 工作准备区不应设置在场地主导风的下风向。</w:t>
      </w:r>
    </w:p>
    <w:p w14:paraId="3B31298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5.0.7 垃圾暂存间、污水处理等设施应设置在隔离区内，不应设置在场地主导风向的上风向。</w:t>
      </w:r>
    </w:p>
    <w:p w14:paraId="304A72E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5.0.8 总平面宜预留扩展场地。</w:t>
      </w:r>
    </w:p>
    <w:p w14:paraId="708E1E1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5.0.9 应设置临时建筑设备集中安放区。</w:t>
      </w:r>
    </w:p>
    <w:p w14:paraId="67BE09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5.0.10 宜预留移动医学设备检测车辆等医学隔离观察设施的扩展空间和场地。用于搭建临帐和安装相关设备等的室外场地应平整、防积水、防开裂、防不均匀沉降，并做好硬化和防渗漏处理。</w:t>
      </w:r>
    </w:p>
    <w:p w14:paraId="520C90B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5.0.11 应设置应急交通标志、应急照明设备、应急广播等设施和设备。应设置区域位置指示和警告标志，并宜设置场所设施标识。</w:t>
      </w:r>
    </w:p>
    <w:p w14:paraId="29907C7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5.0.12 “急时”通行的内部车行道路应满足救援车辆的快速通行要求。</w:t>
      </w:r>
    </w:p>
    <w:p w14:paraId="7299240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5.0.13 应预留地面应急车位，用于大型运输车辆、救援车辆临时停放，车位数量应符合宝鸡市相关规定。平急转换后隔离、应急居住人员出入口处应设置车辆停靠、落客的场地，并宜设雨雪遮蔽设施；工作人员出入口宜结合需要设置车辆停靠场地。</w:t>
      </w:r>
    </w:p>
    <w:p w14:paraId="1EC9048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5.0.14 新建“平急两用”旅游居住设施宜采用分散式、低多层、分组团多栋独立楼的设置方式，便于“急时”分级响应。既有建筑改造利用为“平急两用”旅游居住设施时，应参照本导则进行转换能力评估，符合转换条件的方可作为相关资源。</w:t>
      </w:r>
    </w:p>
    <w:p w14:paraId="5C5EE4E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5.0.15 隔离区、工作准备区、缓冲区各区之间的室外边界应采用固定式或移动式隔离围栏等进行物理分隔并设有明显警示标识。临时物理隔断使用的材料，其耐火性能和污染物指标应符合相关规范和规定。</w:t>
      </w:r>
    </w:p>
    <w:p w14:paraId="26ACABC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5.0.16 平急转换后隔离人员、工作人员、物资配送及垃圾运输流线应避免交叉。宜设置独立的垃圾处置和转运通道，通道应设置明显标识。</w:t>
      </w:r>
    </w:p>
    <w:p w14:paraId="1A140F4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5.0.17 工作准备区应设置在隔离观察区主导风向的上风向。工作准备区与隔离观察区之间的距离不宜小于20米。隔离观察区根据规模宜划分为多个管理单元，单元之间的距离不宜小于12米。</w:t>
      </w:r>
    </w:p>
    <w:p w14:paraId="11C8BF0B">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4B8701E4">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33" w:name="_Toc215674223"/>
      <w:r>
        <w:rPr>
          <w:rFonts w:hint="eastAsia" w:ascii="Times New Roman" w:hAnsi="Times New Roman" w:eastAsia="黑体" w:cs="Times New Roman"/>
          <w:b w:val="0"/>
          <w:snapToGrid w:val="0"/>
          <w:kern w:val="0"/>
          <w:sz w:val="40"/>
          <w:szCs w:val="40"/>
          <w:lang w:eastAsia="en-US"/>
        </w:rPr>
        <w:t xml:space="preserve">6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建</w:t>
      </w:r>
      <w:r>
        <w:rPr>
          <w:rFonts w:hint="eastAsia" w:ascii="Times New Roman" w:hAnsi="Times New Roman" w:eastAsia="黑体" w:cs="Times New Roman"/>
          <w:b w:val="0"/>
          <w:snapToGrid w:val="0"/>
          <w:kern w:val="0"/>
          <w:sz w:val="40"/>
          <w:szCs w:val="40"/>
        </w:rPr>
        <w:t>筑</w:t>
      </w:r>
      <w:bookmarkEnd w:id="33"/>
    </w:p>
    <w:p w14:paraId="27EFF817">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717A2F0B">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34" w:name="_Toc215674224"/>
      <w:r>
        <w:rPr>
          <w:rFonts w:hint="eastAsia" w:ascii="黑体" w:hAnsi="黑体" w:eastAsia="黑体" w:cs="黑体"/>
          <w:b w:val="0"/>
          <w:color w:val="auto"/>
        </w:rPr>
        <w:t xml:space="preserve">6.1 </w:t>
      </w:r>
      <w:r>
        <w:rPr>
          <w:rFonts w:ascii="黑体" w:hAnsi="黑体" w:eastAsia="黑体" w:cs="黑体"/>
          <w:b w:val="0"/>
          <w:color w:val="auto"/>
        </w:rPr>
        <w:t xml:space="preserve"> </w:t>
      </w:r>
      <w:r>
        <w:rPr>
          <w:rFonts w:hint="eastAsia" w:ascii="黑体" w:hAnsi="黑体" w:eastAsia="黑体" w:cs="黑体"/>
          <w:b w:val="0"/>
          <w:color w:val="auto"/>
        </w:rPr>
        <w:t>隔离安置区</w:t>
      </w:r>
      <w:bookmarkEnd w:id="34"/>
    </w:p>
    <w:p w14:paraId="2800878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 隔离安置区应自成一区，并设独立出入口。建筑内“平时”、“急时”需要控制人员随意出入的疏散门和设置门禁系统的门，应保证火灾时不需使用钥匙等任何工具即能从内部易于打开，并应在显著位置具有使用提示的标识。</w:t>
      </w:r>
    </w:p>
    <w:p w14:paraId="375B264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6.1.2 隔离区应明确标识限制边界，并有防止无关人员进入实体隔离区的措施。</w:t>
      </w:r>
    </w:p>
    <w:p w14:paraId="3ED9018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6.1.3 隔离区人员、物资、垃圾应合理规划流线，避免交叉感染。</w:t>
      </w:r>
    </w:p>
    <w:p w14:paraId="261D9D8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6.1.4 隔离区宜设置专用的清洁电梯和污物电梯。</w:t>
      </w:r>
    </w:p>
    <w:p w14:paraId="5930D79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6.1.5 隔离区内宜设置一处应急医务室、心理咨询室。</w:t>
      </w:r>
    </w:p>
    <w:p w14:paraId="41CBF21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6.1.6 隔离区应设置若干隔离观察单元，隔离观察单元宜按每层独立设置，一个隔离观察单元宜为10-20间隔离房间。</w:t>
      </w:r>
    </w:p>
    <w:p w14:paraId="4812DFE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6.1.7 隔离观察单元应设置隔离房间，且房间内带独立卫生间（配置洗漱、厕位、淋浴等基本设施）、隔离通道以及垃圾暂存间、污水处理等配套用房。阳台、外窗应具备隔离转换时安装必要安全防护设施的条件，且门窗开启后应满足相应通风、排烟要求。</w:t>
      </w:r>
    </w:p>
    <w:p w14:paraId="172382D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6.1.8 隔离房间应以单人间为主，并设置一定比例的家庭房间， 供14岁及以下儿童与父母同住，或半自理及无自理能力的隔离人员与陪护人员同住。</w:t>
      </w:r>
    </w:p>
    <w:p w14:paraId="485E821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6.1.9 隔离房间应设可自然通风外窗。每个隔离单元的公共走廊或大厅宜具备自然通风或机械通风条件。</w:t>
      </w:r>
    </w:p>
    <w:p w14:paraId="6CB170F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6.1.10 “平急两用”旅游居住设施隔离区室内装修面层材料宜满足便于清洁</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消毒、防腐蚀和易于维护的要求，室内面层不应选用布艺、地毯等材料，不应选用有织物表面的家具。</w:t>
      </w:r>
    </w:p>
    <w:p w14:paraId="3CC1AE7E">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35" w:name="_Toc215674225"/>
      <w:r>
        <w:rPr>
          <w:rFonts w:hint="eastAsia" w:ascii="黑体" w:hAnsi="黑体" w:eastAsia="黑体" w:cs="黑体"/>
          <w:b w:val="0"/>
          <w:color w:val="auto"/>
        </w:rPr>
        <w:t xml:space="preserve">6.2 </w:t>
      </w:r>
      <w:r>
        <w:rPr>
          <w:rFonts w:ascii="黑体" w:hAnsi="黑体" w:eastAsia="黑体" w:cs="黑体"/>
          <w:b w:val="0"/>
          <w:color w:val="auto"/>
        </w:rPr>
        <w:t xml:space="preserve"> </w:t>
      </w:r>
      <w:r>
        <w:rPr>
          <w:rFonts w:hint="eastAsia" w:ascii="黑体" w:hAnsi="黑体" w:eastAsia="黑体" w:cs="黑体"/>
          <w:b w:val="0"/>
          <w:color w:val="auto"/>
        </w:rPr>
        <w:t>工作准备区</w:t>
      </w:r>
      <w:bookmarkEnd w:id="35"/>
    </w:p>
    <w:p w14:paraId="1548E5C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6.2.1 工作准备区宜根据不同工作性质和风险等级，将各类用房合理分区，合理规划人员、物资等流线。</w:t>
      </w:r>
    </w:p>
    <w:p w14:paraId="28A317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6.2.2 工作准备区应自成一区，并设独立出入口。当条件受限时，工作人员生活宿舍宜利用周边既有建筑资源。</w:t>
      </w:r>
    </w:p>
    <w:p w14:paraId="13D9876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6.2.3 工作准备区</w:t>
      </w:r>
      <w:r>
        <w:rPr>
          <w:rFonts w:ascii="Times New Roman" w:hAnsi="Times New Roman" w:eastAsia="方正仿宋_GB2312" w:cs="Times New Roman"/>
          <w:b w:val="0"/>
          <w:bCs w:val="0"/>
          <w:color w:val="auto"/>
        </w:rPr>
        <w:t>宜设置办公室、工作人员通道、值班室、会议室、物资库房、设备机房、开水间、工作人员宿舍及相关配套用房等。</w:t>
      </w:r>
    </w:p>
    <w:p w14:paraId="1B2C965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6.2.4 主要机房、设备检修场所宜设置在工作准备区内。</w:t>
      </w:r>
    </w:p>
    <w:p w14:paraId="1890879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6.2.5 工作准备区主要功能房间应有自然采光通风或机械通风措施。</w:t>
      </w:r>
    </w:p>
    <w:p w14:paraId="7BAE424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.6 工作准备区应设置储存满足应急转换要求的相关物资、器材的库房或区域。</w:t>
      </w:r>
    </w:p>
    <w:p w14:paraId="6730C3B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.7 物资库房设置于二层及以上楼层时，宜设置电梯。</w:t>
      </w:r>
    </w:p>
    <w:p w14:paraId="07BB9567">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36" w:name="_Toc215674226"/>
      <w:r>
        <w:rPr>
          <w:rFonts w:hint="eastAsia" w:ascii="黑体" w:hAnsi="黑体" w:eastAsia="黑体" w:cs="黑体"/>
          <w:b w:val="0"/>
          <w:color w:val="auto"/>
        </w:rPr>
        <w:t xml:space="preserve">6.3 </w:t>
      </w:r>
      <w:r>
        <w:rPr>
          <w:rFonts w:ascii="黑体" w:hAnsi="黑体" w:eastAsia="黑体" w:cs="黑体"/>
          <w:b w:val="0"/>
          <w:color w:val="auto"/>
        </w:rPr>
        <w:t xml:space="preserve"> </w:t>
      </w:r>
      <w:r>
        <w:rPr>
          <w:rFonts w:hint="eastAsia" w:ascii="黑体" w:hAnsi="黑体" w:eastAsia="黑体" w:cs="黑体"/>
          <w:b w:val="0"/>
          <w:color w:val="auto"/>
        </w:rPr>
        <w:t>缓冲区</w:t>
      </w:r>
      <w:bookmarkEnd w:id="36"/>
    </w:p>
    <w:p w14:paraId="6060748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6.3.1 缓冲区（卫生通过区）应设于隔离区与工作准备区之间。</w:t>
      </w:r>
    </w:p>
    <w:p w14:paraId="0C57308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6.3.2 缓冲区（卫生通过区）应符合下列规定：</w:t>
      </w:r>
    </w:p>
    <w:p w14:paraId="23E5C97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.3.2.1</w:t>
      </w:r>
      <w:r>
        <w:rPr>
          <w:rFonts w:hint="eastAsia" w:ascii="Times New Roman" w:hAnsi="Times New Roman" w:eastAsia="方正仿宋_GB2312" w:cs="Times New Roman"/>
          <w:b w:val="0"/>
          <w:bCs w:val="0"/>
          <w:color w:val="auto"/>
        </w:rPr>
        <w:t xml:space="preserve"> 卫生通过区的工作人员进入和返回通道应严格分开；</w:t>
      </w:r>
    </w:p>
    <w:p w14:paraId="416E6A7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 xml:space="preserve">.3.2.2 </w:t>
      </w:r>
      <w:r>
        <w:rPr>
          <w:rFonts w:hint="eastAsia" w:ascii="Times New Roman" w:hAnsi="Times New Roman" w:eastAsia="方正仿宋_GB2312" w:cs="Times New Roman"/>
          <w:b w:val="0"/>
          <w:bCs w:val="0"/>
          <w:color w:val="auto"/>
        </w:rPr>
        <w:t>工作人员进入隔离区，应经过更衣、穿戴防护装备、缓冲等房间；</w:t>
      </w:r>
    </w:p>
    <w:p w14:paraId="43F8273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 xml:space="preserve">.3.2.3 </w:t>
      </w:r>
      <w:r>
        <w:rPr>
          <w:rFonts w:hint="eastAsia" w:ascii="Times New Roman" w:hAnsi="Times New Roman" w:eastAsia="方正仿宋_GB2312" w:cs="Times New Roman"/>
          <w:b w:val="0"/>
          <w:bCs w:val="0"/>
          <w:color w:val="auto"/>
        </w:rPr>
        <w:t>工作人员经由隔离区返回工作准备区，应经过一脱、二脱、缓冲等房间，设立单向作业流程；</w:t>
      </w:r>
    </w:p>
    <w:p w14:paraId="220508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w:t>
      </w:r>
      <w:r>
        <w:rPr>
          <w:rFonts w:ascii="Times New Roman" w:hAnsi="Times New Roman" w:eastAsia="方正仿宋_GB2312" w:cs="Times New Roman"/>
          <w:b w:val="0"/>
          <w:bCs w:val="0"/>
          <w:color w:val="auto"/>
        </w:rPr>
        <w:t>.3.2.4</w:t>
      </w:r>
      <w:r>
        <w:rPr>
          <w:rFonts w:hint="eastAsia" w:ascii="Times New Roman" w:hAnsi="Times New Roman" w:eastAsia="方正仿宋_GB2312" w:cs="Times New Roman"/>
          <w:b w:val="0"/>
          <w:bCs w:val="0"/>
          <w:color w:val="auto"/>
        </w:rPr>
        <w:t xml:space="preserve"> 物品运送车辆由隔离区返回工作准备区时，应经过洗消、缓冲等区域；</w:t>
      </w:r>
    </w:p>
    <w:p w14:paraId="361F28D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6.3.2.5</w:t>
      </w:r>
      <w:r>
        <w:rPr>
          <w:rFonts w:hint="eastAsia" w:ascii="Times New Roman" w:hAnsi="Times New Roman" w:eastAsia="方正仿宋_GB2312" w:cs="Times New Roman"/>
          <w:b w:val="0"/>
          <w:bCs w:val="0"/>
          <w:color w:val="auto"/>
        </w:rPr>
        <w:t xml:space="preserve"> 二脱区的区域宜增加设置1个应急职业暴露处置间。</w:t>
      </w:r>
    </w:p>
    <w:p w14:paraId="646E6B0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6.3.3 卫生通过区宜一次建成，或预留场地一体化安装。</w:t>
      </w:r>
    </w:p>
    <w:p w14:paraId="7B0D3B8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6.3.4缓冲区的通道门应具有开启互锁功能。</w:t>
      </w:r>
    </w:p>
    <w:p w14:paraId="7F1FD70D">
      <w:pPr>
        <w:pStyle w:val="4"/>
        <w:keepNext w:val="0"/>
        <w:keepLines w:val="0"/>
        <w:kinsoku/>
        <w:topLinePunct/>
        <w:autoSpaceDE/>
        <w:autoSpaceDN/>
        <w:snapToGrid/>
        <w:spacing w:before="280" w:after="280" w:line="360" w:lineRule="auto"/>
        <w:contextualSpacing/>
        <w:jc w:val="center"/>
        <w:rPr>
          <w:rFonts w:ascii="黑体" w:hAnsi="黑体" w:eastAsia="黑体" w:cs="黑体"/>
          <w:b w:val="0"/>
          <w:color w:val="auto"/>
        </w:rPr>
      </w:pPr>
      <w:bookmarkStart w:id="37" w:name="_Toc215674227"/>
      <w:r>
        <w:rPr>
          <w:rFonts w:hint="eastAsia" w:ascii="黑体" w:hAnsi="黑体" w:eastAsia="黑体" w:cs="黑体"/>
          <w:b w:val="0"/>
          <w:color w:val="auto"/>
        </w:rPr>
        <w:t xml:space="preserve">6.4 </w:t>
      </w:r>
      <w:r>
        <w:rPr>
          <w:rFonts w:ascii="黑体" w:hAnsi="黑体" w:eastAsia="黑体" w:cs="黑体"/>
          <w:b w:val="0"/>
          <w:color w:val="auto"/>
        </w:rPr>
        <w:t xml:space="preserve"> </w:t>
      </w:r>
      <w:r>
        <w:rPr>
          <w:rFonts w:hint="eastAsia" w:ascii="黑体" w:hAnsi="黑体" w:eastAsia="黑体" w:cs="黑体"/>
          <w:b w:val="0"/>
          <w:color w:val="auto"/>
        </w:rPr>
        <w:t>其他</w:t>
      </w:r>
      <w:bookmarkEnd w:id="37"/>
    </w:p>
    <w:p w14:paraId="5F56EBF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.1 </w:t>
      </w:r>
      <w:r>
        <w:rPr>
          <w:rFonts w:hint="eastAsia" w:ascii="Times New Roman" w:hAnsi="Times New Roman" w:eastAsia="方正仿宋_GB2312" w:cs="Times New Roman"/>
          <w:b w:val="0"/>
          <w:bCs w:val="0"/>
          <w:color w:val="auto"/>
        </w:rPr>
        <w:t>有气密性要求的房间、区域边界隔墙应砌筑到梁底或楼板底，“急时”转换设置的上述隔墙应采取措施封堵至</w:t>
      </w:r>
      <w:bookmarkStart w:id="38" w:name="OLE_LINK28"/>
      <w:bookmarkStart w:id="39" w:name="OLE_LINK29"/>
      <w:r>
        <w:rPr>
          <w:rFonts w:hint="eastAsia" w:ascii="Times New Roman" w:hAnsi="Times New Roman" w:eastAsia="方正仿宋_GB2312" w:cs="Times New Roman"/>
          <w:b w:val="0"/>
          <w:bCs w:val="0"/>
          <w:color w:val="auto"/>
        </w:rPr>
        <w:t>梁底或楼板底</w:t>
      </w:r>
      <w:bookmarkEnd w:id="38"/>
      <w:bookmarkEnd w:id="39"/>
      <w:r>
        <w:rPr>
          <w:rFonts w:hint="eastAsia" w:ascii="Times New Roman" w:hAnsi="Times New Roman" w:eastAsia="方正仿宋_GB2312" w:cs="Times New Roman"/>
          <w:b w:val="0"/>
          <w:bCs w:val="0"/>
          <w:color w:val="auto"/>
        </w:rPr>
        <w:t>，保证房间、区域气密性要求。</w:t>
      </w:r>
    </w:p>
    <w:p w14:paraId="24A82A2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.2 </w:t>
      </w:r>
      <w:r>
        <w:rPr>
          <w:rFonts w:hint="eastAsia" w:ascii="Times New Roman" w:hAnsi="Times New Roman" w:eastAsia="方正仿宋_GB2312" w:cs="Times New Roman"/>
          <w:b w:val="0"/>
          <w:bCs w:val="0"/>
          <w:color w:val="auto"/>
        </w:rPr>
        <w:t>穿越有气密性要求隔墙的管线周边缝隙及槽口、管口应采用气密性材料封堵。</w:t>
      </w:r>
    </w:p>
    <w:p w14:paraId="6266849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 xml:space="preserve">3 </w:t>
      </w:r>
      <w:r>
        <w:rPr>
          <w:rFonts w:ascii="Times New Roman" w:hAnsi="Times New Roman" w:eastAsia="方正仿宋_GB2312" w:cs="Times New Roman"/>
          <w:b w:val="0"/>
          <w:bCs w:val="0"/>
          <w:color w:val="auto"/>
        </w:rPr>
        <w:t>“急时”地面不宜采用不易清洗、易燃的毛织、地毯等产品。</w:t>
      </w:r>
    </w:p>
    <w:p w14:paraId="11FA88C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6.4.4 建筑立面及室内各部位的色彩宜简洁明快，除有警示或其他提示外，不宜采用对环境和人员产生强烈刺激的色彩。</w:t>
      </w:r>
    </w:p>
    <w:p w14:paraId="0D3708B8">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72EDC9B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0" w:name="_Toc215674228"/>
      <w:r>
        <w:rPr>
          <w:rFonts w:hint="eastAsia" w:ascii="Times New Roman" w:hAnsi="Times New Roman" w:eastAsia="黑体" w:cs="Times New Roman"/>
          <w:b w:val="0"/>
          <w:snapToGrid w:val="0"/>
          <w:kern w:val="0"/>
          <w:sz w:val="40"/>
          <w:szCs w:val="40"/>
          <w:lang w:eastAsia="en-US"/>
        </w:rPr>
        <w:t xml:space="preserve">7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结</w:t>
      </w:r>
      <w:r>
        <w:rPr>
          <w:rFonts w:hint="eastAsia" w:ascii="Times New Roman" w:hAnsi="Times New Roman" w:eastAsia="黑体" w:cs="Times New Roman"/>
          <w:b w:val="0"/>
          <w:snapToGrid w:val="0"/>
          <w:kern w:val="0"/>
          <w:sz w:val="40"/>
          <w:szCs w:val="40"/>
        </w:rPr>
        <w:t>构</w:t>
      </w:r>
      <w:bookmarkEnd w:id="40"/>
    </w:p>
    <w:p w14:paraId="68CC45C1">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420610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 “平急两用” 旅游居住设施“平时”和“急时”的安全等级、抗震设防分类等应同时满足现行国家及地方标准要求。</w:t>
      </w:r>
    </w:p>
    <w:p w14:paraId="4AD0F83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7.0.2 </w:t>
      </w:r>
      <w:r>
        <w:rPr>
          <w:rFonts w:ascii="Times New Roman" w:hAnsi="Times New Roman" w:eastAsia="方正仿宋_GB2312" w:cs="Times New Roman"/>
          <w:b w:val="0"/>
          <w:bCs w:val="0"/>
          <w:color w:val="auto"/>
        </w:rPr>
        <w:t>“平急两用”建筑结构设计应同时满足转换前后功能的要求。</w:t>
      </w:r>
    </w:p>
    <w:p w14:paraId="10959ED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7.0.3 既有建筑改造为“平急两用”旅游居住设施,应选择结构状况良好的建筑,并遵循先检测、鉴定、后加固设计、施工、验收的流程。</w:t>
      </w:r>
    </w:p>
    <w:p w14:paraId="0A900B5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7.0.4</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既有建筑改造为“平急两用”</w:t>
      </w:r>
      <w:bookmarkStart w:id="41" w:name="OLE_LINK2"/>
      <w:r>
        <w:rPr>
          <w:rFonts w:hint="eastAsia" w:ascii="Times New Roman" w:hAnsi="Times New Roman" w:eastAsia="方正仿宋_GB2312" w:cs="Times New Roman"/>
          <w:b w:val="0"/>
          <w:bCs w:val="0"/>
          <w:color w:val="auto"/>
        </w:rPr>
        <w:t>旅游居住设施</w:t>
      </w:r>
      <w:bookmarkEnd w:id="41"/>
      <w:r>
        <w:rPr>
          <w:rFonts w:ascii="Times New Roman" w:hAnsi="Times New Roman" w:eastAsia="方正仿宋_GB2312" w:cs="Times New Roman"/>
          <w:b w:val="0"/>
          <w:bCs w:val="0"/>
          <w:color w:val="auto"/>
        </w:rPr>
        <w:t>,</w:t>
      </w:r>
      <w:r>
        <w:rPr>
          <w:rFonts w:hint="eastAsia" w:ascii="Times New Roman" w:hAnsi="Times New Roman" w:eastAsia="方正仿宋_GB2312" w:cs="Times New Roman"/>
          <w:b w:val="0"/>
          <w:bCs w:val="0"/>
          <w:color w:val="auto"/>
        </w:rPr>
        <w:t>应尽量不改变原结构的受力体系和构件受力状态，较重的设备宜布置在建筑底层，避免或减少对主体结构进行加固。</w:t>
      </w:r>
    </w:p>
    <w:p w14:paraId="5CF91E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7.0.5 “急时”新增结构宜与原结构脱开，建筑基础</w:t>
      </w:r>
      <w:r>
        <w:rPr>
          <w:rFonts w:ascii="Times New Roman" w:hAnsi="Times New Roman" w:eastAsia="方正仿宋_GB2312" w:cs="Times New Roman"/>
          <w:b w:val="0"/>
          <w:bCs w:val="0"/>
          <w:color w:val="auto"/>
        </w:rPr>
        <w:t>宜采用天然基础，不应对原建筑结构安全造成影响。</w:t>
      </w:r>
    </w:p>
    <w:p w14:paraId="594BC76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 xml:space="preserve">7.0.6 </w:t>
      </w:r>
      <w:r>
        <w:rPr>
          <w:rFonts w:ascii="Times New Roman" w:hAnsi="Times New Roman" w:eastAsia="方正仿宋_GB2312" w:cs="Times New Roman"/>
          <w:b w:val="0"/>
          <w:bCs w:val="0"/>
          <w:color w:val="auto"/>
        </w:rPr>
        <w:t>应按“平时”和“急时”两种使用功能确定荷载取值，并进行包络设计，充分考虑应急状态下功能转换对楼面结构荷载的要求，尽量减少平急转换中的结构主体改造。</w:t>
      </w:r>
    </w:p>
    <w:p w14:paraId="750AFEA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7.0.7 “急时”新增结构宜</w:t>
      </w:r>
      <w:r>
        <w:rPr>
          <w:rFonts w:ascii="Times New Roman" w:hAnsi="Times New Roman" w:eastAsia="方正仿宋_GB2312" w:cs="Times New Roman"/>
          <w:b w:val="0"/>
          <w:bCs w:val="0"/>
          <w:color w:val="auto"/>
        </w:rPr>
        <w:t>采用集装箱式模块化钢结构、钢框架、钢排架、门式刚架等轻型钢结构，方便快速加工、运输和安装；结构布置宜标准化、模块化。</w:t>
      </w:r>
    </w:p>
    <w:p w14:paraId="5466827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8</w:t>
      </w:r>
      <w:r>
        <w:rPr>
          <w:rFonts w:hint="eastAsia" w:ascii="Times New Roman" w:hAnsi="Times New Roman" w:eastAsia="方正仿宋_GB2312" w:cs="Times New Roman"/>
          <w:b w:val="0"/>
          <w:bCs w:val="0"/>
          <w:color w:val="auto"/>
        </w:rPr>
        <w:t>“急时”重型设备运输通道相关范围内的结构不满足设计要求时，应增设临时支撑设施。</w:t>
      </w:r>
    </w:p>
    <w:p w14:paraId="14CC73D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w:t>
      </w:r>
      <w:r>
        <w:rPr>
          <w:rFonts w:ascii="Times New Roman" w:hAnsi="Times New Roman" w:eastAsia="方正仿宋_GB2312" w:cs="Times New Roman"/>
          <w:b w:val="0"/>
          <w:bCs w:val="0"/>
          <w:color w:val="auto"/>
        </w:rPr>
        <w:t>9</w:t>
      </w:r>
      <w:r>
        <w:rPr>
          <w:rFonts w:hint="eastAsia" w:ascii="Times New Roman" w:hAnsi="Times New Roman" w:eastAsia="方正仿宋_GB2312" w:cs="Times New Roman"/>
          <w:b w:val="0"/>
          <w:bCs w:val="0"/>
          <w:color w:val="auto"/>
        </w:rPr>
        <w:t xml:space="preserve"> “急时”要搭建和安装的临时设施</w:t>
      </w:r>
      <w:r>
        <w:rPr>
          <w:rFonts w:ascii="Times New Roman" w:hAnsi="Times New Roman" w:eastAsia="方正仿宋_GB2312" w:cs="Times New Roman"/>
          <w:b w:val="0"/>
          <w:bCs w:val="0"/>
          <w:color w:val="auto"/>
        </w:rPr>
        <w:t>宜建在有硬化地坪的室外停车场上</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或进行临时硬化，硬化层的厚度不宜小于200mm，混凝土的强度等级不宜小于C25，配置双向双层钢筋配筋率不小于0.15%。</w:t>
      </w:r>
      <w:r>
        <w:rPr>
          <w:rFonts w:hint="eastAsia" w:ascii="Times New Roman" w:hAnsi="Times New Roman" w:eastAsia="方正仿宋_GB2312" w:cs="Times New Roman"/>
          <w:b w:val="0"/>
          <w:bCs w:val="0"/>
          <w:color w:val="auto"/>
        </w:rPr>
        <w:t>周边场地内可配合机电专业预埋必要的管道沟、井。</w:t>
      </w:r>
    </w:p>
    <w:p w14:paraId="1431D40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 “急时”可能受到污染的埋地检查井、预消毒池、消毒池、化粪池、污水池等的混凝土抗渗等级不应低于P8，最大裂缝宽度不宜大于0.2mm。</w:t>
      </w:r>
    </w:p>
    <w:p w14:paraId="3F486BA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1</w:t>
      </w:r>
      <w:r>
        <w:rPr>
          <w:rFonts w:hint="eastAsia" w:ascii="Times New Roman" w:hAnsi="Times New Roman" w:eastAsia="方正仿宋_GB2312" w:cs="Times New Roman"/>
          <w:b w:val="0"/>
          <w:bCs w:val="0"/>
          <w:color w:val="auto"/>
        </w:rPr>
        <w:t xml:space="preserve"> 平急转换改造应遵循安全可靠、转换便捷、易于恢复的原则。</w:t>
      </w:r>
    </w:p>
    <w:p w14:paraId="4E88C46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2</w:t>
      </w:r>
      <w:r>
        <w:rPr>
          <w:rFonts w:hint="eastAsia" w:ascii="Times New Roman" w:hAnsi="Times New Roman" w:eastAsia="方正仿宋_GB2312" w:cs="Times New Roman"/>
          <w:b w:val="0"/>
          <w:bCs w:val="0"/>
          <w:color w:val="auto"/>
        </w:rPr>
        <w:t xml:space="preserve"> 平急转换改造应采用方便加工、运输、可快速拼装和拆卸的结构构件，减少或避免转换过程中的湿作业施工。</w:t>
      </w:r>
    </w:p>
    <w:p w14:paraId="6A68C4E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7.0.1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 xml:space="preserve"> 平急转换改造新增的隔断应优先采用轻质隔断，其可变荷载考虑结构设计工作年限的荷载调整系数可取0.9；新增隔断应有可靠的节点连接方式和构造，节点连接方式宜便于现场拆装，连接构造应满足结构受力和变形要求。</w:t>
      </w:r>
    </w:p>
    <w:p w14:paraId="6E993131">
      <w:pPr>
        <w:widowControl/>
        <w:suppressLineNumbers/>
        <w:wordWrap w:val="0"/>
        <w:topLinePunct/>
        <w:spacing w:line="360" w:lineRule="auto"/>
        <w:rPr>
          <w:rFonts w:ascii="宋体" w:hAnsi="宋体" w:eastAsia="宋体"/>
          <w:sz w:val="28"/>
          <w:szCs w:val="28"/>
        </w:rPr>
      </w:pPr>
      <w:r>
        <w:rPr>
          <w:rFonts w:ascii="宋体" w:hAnsi="宋体" w:eastAsia="宋体"/>
          <w:sz w:val="28"/>
          <w:szCs w:val="28"/>
        </w:rPr>
        <w:br w:type="page"/>
      </w:r>
    </w:p>
    <w:p w14:paraId="00D76987">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2" w:name="_Toc215674229"/>
      <w:r>
        <w:rPr>
          <w:rFonts w:hint="eastAsia" w:ascii="Times New Roman" w:hAnsi="Times New Roman" w:eastAsia="黑体" w:cs="Times New Roman"/>
          <w:b w:val="0"/>
          <w:snapToGrid w:val="0"/>
          <w:kern w:val="0"/>
          <w:sz w:val="40"/>
          <w:szCs w:val="40"/>
          <w:lang w:eastAsia="en-US"/>
        </w:rPr>
        <w:t xml:space="preserve">8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给排</w:t>
      </w:r>
      <w:r>
        <w:rPr>
          <w:rFonts w:hint="eastAsia" w:ascii="Times New Roman" w:hAnsi="Times New Roman" w:eastAsia="黑体" w:cs="Times New Roman"/>
          <w:b w:val="0"/>
          <w:snapToGrid w:val="0"/>
          <w:kern w:val="0"/>
          <w:sz w:val="40"/>
          <w:szCs w:val="40"/>
        </w:rPr>
        <w:t>水</w:t>
      </w:r>
      <w:bookmarkEnd w:id="42"/>
    </w:p>
    <w:p w14:paraId="7CA68FBA">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51EFC5E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 “平急两用”生活给水水质应符合现行国家标准《生活饮用水水质卫生标准》GB5749的规定，并宜规划备用水源。</w:t>
      </w:r>
    </w:p>
    <w:p w14:paraId="7688DDD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8.0.2 应预留储存应急期间水量及供水设备的条件。</w:t>
      </w:r>
    </w:p>
    <w:p w14:paraId="7BB3DC5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8.0.3 给水系统宜按隔离区、工作准备区、缓冲区分区设置，隔离区、缓冲区生活给水系统宜选用断流水箱加增压水泵的供水方式。</w:t>
      </w:r>
    </w:p>
    <w:p w14:paraId="3E19086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8.0.4 生活给水系统应采取有效防止回流污染的措施，当隔离区、工作准备区、缓冲区的给水系统无法独立设置时，接入隔离区、缓冲区的给水管道上应设置减压型倒流防止器，且倒流防止器应设在清洁区域。</w:t>
      </w:r>
    </w:p>
    <w:p w14:paraId="6163B7D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8.0.5 缓冲区和</w:t>
      </w:r>
      <w:r>
        <w:rPr>
          <w:rFonts w:hint="eastAsia" w:ascii="Times New Roman" w:hAnsi="Times New Roman" w:eastAsia="方正仿宋_GB2312" w:cs="Times New Roman"/>
          <w:b w:val="0"/>
          <w:bCs w:val="0"/>
          <w:color w:val="auto"/>
          <w:lang w:eastAsia="zh-CN"/>
        </w:rPr>
        <w:t>隔离区</w:t>
      </w:r>
      <w:r>
        <w:rPr>
          <w:rFonts w:hint="eastAsia" w:ascii="Times New Roman" w:hAnsi="Times New Roman" w:eastAsia="方正仿宋_GB2312" w:cs="Times New Roman"/>
          <w:b w:val="0"/>
          <w:bCs w:val="0"/>
          <w:color w:val="auto"/>
        </w:rPr>
        <w:t>的卫生器具应采用非手动开关，并应采取防止污水外溅的措施。</w:t>
      </w:r>
    </w:p>
    <w:p w14:paraId="4991D42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8.0.6 排水管网、消毒和处理设施、提升泵站等均应实现在“急时”状态下产生的污废水全收集、全处理、全过程控制。</w:t>
      </w:r>
    </w:p>
    <w:p w14:paraId="7A84DCD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8.0.7 场地内生活排水与雨水排水系统应采用分流制，且“三区”宜分别设置独立的排水管网；确有困难时同一性质传染病的隔离区、缓冲区管道可合并设置；不同性质传染病的隔离区、缓冲区管道应分别排至室外预消毒设施，进入消毒设施前不应合并或混接。</w:t>
      </w:r>
    </w:p>
    <w:p w14:paraId="5618396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8.0.8 排水系统应采取防止水封破坏的技术措施，并符合下列规定：</w:t>
      </w:r>
    </w:p>
    <w:p w14:paraId="7A5F31C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.0.8.1</w:t>
      </w:r>
      <w:r>
        <w:rPr>
          <w:rFonts w:hint="eastAsia" w:ascii="Times New Roman" w:hAnsi="Times New Roman" w:eastAsia="方正仿宋_GB2312" w:cs="Times New Roman"/>
          <w:b w:val="0"/>
          <w:bCs w:val="0"/>
          <w:color w:val="auto"/>
        </w:rPr>
        <w:t xml:space="preserve"> 排水立管的最大设计排水能力取值不应大于现行国家标准《建筑给水排水设计标准》GB 50015规定值的0.7倍；</w:t>
      </w:r>
    </w:p>
    <w:p w14:paraId="3106A2A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.0.8.2</w:t>
      </w:r>
      <w:r>
        <w:rPr>
          <w:rFonts w:hint="eastAsia" w:ascii="Times New Roman" w:hAnsi="Times New Roman" w:eastAsia="方正仿宋_GB2312" w:cs="Times New Roman"/>
          <w:b w:val="0"/>
          <w:bCs w:val="0"/>
          <w:color w:val="auto"/>
        </w:rPr>
        <w:t xml:space="preserve"> 地漏宜采用无水封地漏加P型存水弯，宜采用洗手盆排水为地漏水封补水的措施；不经常排水部位的排水管道及附件，应采取防止水封干涸的措施；</w:t>
      </w:r>
    </w:p>
    <w:p w14:paraId="669B7D9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.0.8.3</w:t>
      </w:r>
      <w:r>
        <w:rPr>
          <w:rFonts w:hint="eastAsia" w:ascii="Times New Roman" w:hAnsi="Times New Roman" w:eastAsia="方正仿宋_GB2312" w:cs="Times New Roman"/>
          <w:b w:val="0"/>
          <w:bCs w:val="0"/>
          <w:color w:val="auto"/>
        </w:rPr>
        <w:t>存水弯水封高度不得小于50mm,且不得大于100mm，不应重复设置水封。</w:t>
      </w:r>
    </w:p>
    <w:p w14:paraId="762F0E2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8.0.9 隔离区、缓冲区的卫生排水系统通气管应单独设置，通气管出口应预留安装消毒设施的条件。</w:t>
      </w:r>
    </w:p>
    <w:p w14:paraId="063E123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8.0.10 隔离区、缓冲区的室外污水排水管道在接入预消毒池之前应以全密闭方式敷设。</w:t>
      </w:r>
    </w:p>
    <w:p w14:paraId="164E403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8.0.11 “急时”应在车辆出入口设冲洗和消毒设施，冲洗和消毒废水应排入污水系统。</w:t>
      </w:r>
    </w:p>
    <w:p w14:paraId="5302759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8.0.12 污水处理应采取平急结合的方式，保证安全可靠，经济合理。</w:t>
      </w:r>
    </w:p>
    <w:p w14:paraId="2065119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“急时”污水处理设施应采用强化消毒处理工艺，并符合下列规定：</w:t>
      </w:r>
    </w:p>
    <w:p w14:paraId="6061C15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.0.12.1</w:t>
      </w:r>
      <w:r>
        <w:rPr>
          <w:rFonts w:hint="eastAsia" w:ascii="Times New Roman" w:hAnsi="Times New Roman" w:eastAsia="方正仿宋_GB2312" w:cs="Times New Roman"/>
          <w:b w:val="0"/>
          <w:bCs w:val="0"/>
          <w:color w:val="auto"/>
        </w:rPr>
        <w:t xml:space="preserve"> 污水处理应在化粪池前设置预消毒工艺，预消毒池水力停留时间不应小于1h；污水处理设施的二级消毒池水力停留时间不应小于2h；</w:t>
      </w:r>
    </w:p>
    <w:p w14:paraId="2143633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.0.12.2</w:t>
      </w:r>
      <w:r>
        <w:rPr>
          <w:rFonts w:hint="eastAsia" w:ascii="Times New Roman" w:hAnsi="Times New Roman" w:eastAsia="方正仿宋_GB2312" w:cs="Times New Roman"/>
          <w:b w:val="0"/>
          <w:bCs w:val="0"/>
          <w:color w:val="auto"/>
        </w:rPr>
        <w:t xml:space="preserve"> 污水处理从预消毒池至二级消毒池的水力停留总时间不应小于48h；</w:t>
      </w:r>
    </w:p>
    <w:p w14:paraId="31417CA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.0.12.3</w:t>
      </w:r>
      <w:r>
        <w:rPr>
          <w:rFonts w:hint="eastAsia" w:ascii="Times New Roman" w:hAnsi="Times New Roman" w:eastAsia="方正仿宋_GB2312" w:cs="Times New Roman"/>
          <w:b w:val="0"/>
          <w:bCs w:val="0"/>
          <w:color w:val="auto"/>
        </w:rPr>
        <w:t xml:space="preserve"> 化粪池清掏周期不应小于360d；</w:t>
      </w:r>
    </w:p>
    <w:p w14:paraId="38573C4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.0.12.4</w:t>
      </w:r>
      <w:r>
        <w:rPr>
          <w:rFonts w:hint="eastAsia" w:ascii="Times New Roman" w:hAnsi="Times New Roman" w:eastAsia="方正仿宋_GB2312" w:cs="Times New Roman"/>
          <w:b w:val="0"/>
          <w:bCs w:val="0"/>
          <w:color w:val="auto"/>
        </w:rPr>
        <w:t xml:space="preserve"> 污水处理设施应密闭，尾气应统一收集消毒处理后排放。</w:t>
      </w:r>
    </w:p>
    <w:p w14:paraId="307232A1">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241CED5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3" w:name="_Toc215674230"/>
      <w:r>
        <w:rPr>
          <w:rFonts w:hint="eastAsia" w:ascii="Times New Roman" w:hAnsi="Times New Roman" w:eastAsia="黑体" w:cs="Times New Roman"/>
          <w:b w:val="0"/>
          <w:snapToGrid w:val="0"/>
          <w:kern w:val="0"/>
          <w:sz w:val="40"/>
          <w:szCs w:val="40"/>
          <w:lang w:eastAsia="en-US"/>
        </w:rPr>
        <w:t xml:space="preserve">9 </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供暖、通风与空</w:t>
      </w:r>
      <w:r>
        <w:rPr>
          <w:rFonts w:hint="eastAsia" w:ascii="Times New Roman" w:hAnsi="Times New Roman" w:eastAsia="黑体" w:cs="Times New Roman"/>
          <w:b w:val="0"/>
          <w:snapToGrid w:val="0"/>
          <w:kern w:val="0"/>
          <w:sz w:val="40"/>
          <w:szCs w:val="40"/>
        </w:rPr>
        <w:t>调</w:t>
      </w:r>
      <w:bookmarkEnd w:id="43"/>
    </w:p>
    <w:p w14:paraId="48C95BFB">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r>
        <w:rPr>
          <w:rFonts w:hint="eastAsia" w:ascii="Times New Roman" w:hAnsi="Times New Roman" w:eastAsia="黑体" w:cs="Times New Roman"/>
          <w:b w:val="0"/>
          <w:snapToGrid w:val="0"/>
          <w:kern w:val="0"/>
          <w:sz w:val="40"/>
          <w:szCs w:val="40"/>
          <w:lang w:eastAsia="en-US"/>
        </w:rPr>
        <w:t xml:space="preserve"> </w:t>
      </w:r>
    </w:p>
    <w:p w14:paraId="4CED678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 新建“平急两用”旅游居住设施的空调（新风系统及全空气系统）设施，应考虑“平时”转“急时”后划分隔离区、工作准备区、缓冲区的情况，且隔离区、工作准备区、缓冲区的空调设施应独立设置。</w:t>
      </w:r>
    </w:p>
    <w:p w14:paraId="4AA8926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9.0.2 改、扩建“平急两用”旅游居住设施的空调（新风系统及全空气系统）设施，在转“急时”后，应注意将原有的空调系统按隔离区、工作准备区、缓冲区分隔成独立系统。</w:t>
      </w:r>
    </w:p>
    <w:p w14:paraId="40068C9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9.0.3 “平时”转“急时”作为集中隔离点时，各功能房间室内设计温度冬季宜为18-20°C，夏季宜为26-28°C。新建设施如室内设计温度与转“急时”后室内参数有差异，应预留调整的可能性；改、扩建设施如室内设计温度与转“急时”后室内参数有差异，应调整至“急时”要求。</w:t>
      </w:r>
    </w:p>
    <w:p w14:paraId="564CFFC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9.0.4 “平时”转“急时”后作为隔离区的空调系统应采用各室独立的分体式空调系统、多联式空调系统或风机盘管系统。</w:t>
      </w:r>
    </w:p>
    <w:p w14:paraId="62FE787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9.0.5 工作准备区宜设计新风系统，新风量换气次数不宜小于2次/h。隔离房间新风量宜按50m</w:t>
      </w:r>
      <w:r>
        <w:rPr>
          <w:rFonts w:ascii="Cambria" w:hAnsi="Cambria" w:eastAsia="方正仿宋_GB2312" w:cs="Cambria"/>
          <w:b w:val="0"/>
          <w:bCs w:val="0"/>
          <w:color w:val="auto"/>
        </w:rPr>
        <w:t>³</w:t>
      </w:r>
      <w:r>
        <w:rPr>
          <w:rFonts w:hint="eastAsia" w:ascii="Times New Roman" w:hAnsi="Times New Roman" w:eastAsia="方正仿宋_GB2312" w:cs="Times New Roman"/>
          <w:b w:val="0"/>
          <w:bCs w:val="0"/>
          <w:color w:val="auto"/>
        </w:rPr>
        <w:t>/（h.人）计算。</w:t>
      </w:r>
    </w:p>
    <w:p w14:paraId="575F9BD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9.0.6 “平急两用”旅游居住设施设置全空气系统时，新建项目应在空调系统循环回风侧设置或预留消毒系统，改建项目应在空调系统循环回风侧增设消毒系统。</w:t>
      </w:r>
    </w:p>
    <w:p w14:paraId="09EB16B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9.0.7 脱防护服房间（一脱、二脱、淋浴等房间）应设置机械通风系统，每小时换气次数不小于20次，室内气流组织应上送下排，并应控制周边相通房间空气顺序流向一脱房间。</w:t>
      </w:r>
    </w:p>
    <w:p w14:paraId="1AD37BD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9.0.8 排风系统设计应符合以下要求：</w:t>
      </w:r>
    </w:p>
    <w:p w14:paraId="3E42CFA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.0.8.1</w:t>
      </w:r>
      <w:r>
        <w:rPr>
          <w:rFonts w:hint="eastAsia" w:ascii="Times New Roman" w:hAnsi="Times New Roman" w:eastAsia="方正仿宋_GB2312" w:cs="Times New Roman"/>
          <w:b w:val="0"/>
          <w:bCs w:val="0"/>
          <w:color w:val="auto"/>
        </w:rPr>
        <w:t xml:space="preserve"> 各排风系统应通过排风立管至屋面高空排放，除室外排风机出口外，排风系统不应有正压段；</w:t>
      </w:r>
    </w:p>
    <w:p w14:paraId="24243C3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.0.8.2</w:t>
      </w:r>
      <w:r>
        <w:rPr>
          <w:rFonts w:hint="eastAsia" w:ascii="Times New Roman" w:hAnsi="Times New Roman" w:eastAsia="方正仿宋_GB2312" w:cs="Times New Roman"/>
          <w:b w:val="0"/>
          <w:bCs w:val="0"/>
          <w:color w:val="auto"/>
        </w:rPr>
        <w:t xml:space="preserve"> 系统排风机宜按变频控制，根据平急运行需要调节排风量；</w:t>
      </w:r>
    </w:p>
    <w:p w14:paraId="1D27C77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.0.8.3</w:t>
      </w:r>
      <w:r>
        <w:rPr>
          <w:rFonts w:hint="eastAsia" w:ascii="Times New Roman" w:hAnsi="Times New Roman" w:eastAsia="方正仿宋_GB2312" w:cs="Times New Roman"/>
          <w:b w:val="0"/>
          <w:bCs w:val="0"/>
          <w:color w:val="auto"/>
        </w:rPr>
        <w:t xml:space="preserve"> “急时”使用时的排风机入口应设置高效过滤装置；</w:t>
      </w:r>
    </w:p>
    <w:p w14:paraId="1A1B781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.0.8.4</w:t>
      </w:r>
      <w:r>
        <w:rPr>
          <w:rFonts w:hint="eastAsia" w:ascii="Times New Roman" w:hAnsi="Times New Roman" w:eastAsia="方正仿宋_GB2312" w:cs="Times New Roman"/>
          <w:b w:val="0"/>
          <w:bCs w:val="0"/>
          <w:color w:val="auto"/>
        </w:rPr>
        <w:t xml:space="preserve"> 垃圾暂存间、污水处理及洗衣房等区域应设机械排风系统；</w:t>
      </w:r>
    </w:p>
    <w:p w14:paraId="2ADA169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.0.8.5</w:t>
      </w:r>
      <w:r>
        <w:rPr>
          <w:rFonts w:hint="eastAsia" w:ascii="Times New Roman" w:hAnsi="Times New Roman" w:eastAsia="方正仿宋_GB2312" w:cs="Times New Roman"/>
          <w:b w:val="0"/>
          <w:bCs w:val="0"/>
          <w:color w:val="auto"/>
        </w:rPr>
        <w:t xml:space="preserve"> 排风系统的排风出口不应邻近人员活动区域，排风应经消毒后出屋面高空排放；</w:t>
      </w:r>
    </w:p>
    <w:p w14:paraId="0BA186B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.0.8.6</w:t>
      </w:r>
      <w:r>
        <w:rPr>
          <w:rFonts w:hint="eastAsia" w:ascii="Times New Roman" w:hAnsi="Times New Roman" w:eastAsia="方正仿宋_GB2312" w:cs="Times New Roman"/>
          <w:b w:val="0"/>
          <w:bCs w:val="0"/>
          <w:color w:val="auto"/>
        </w:rPr>
        <w:t xml:space="preserve"> 室外排风口与新风进风口水平距离不应小于20m或垂直距离不应小于6m，且排风出口不应低于进风口；</w:t>
      </w:r>
    </w:p>
    <w:p w14:paraId="4EB99E2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.0.8.7</w:t>
      </w:r>
      <w:r>
        <w:rPr>
          <w:rFonts w:hint="eastAsia" w:ascii="Times New Roman" w:hAnsi="Times New Roman" w:eastAsia="方正仿宋_GB2312" w:cs="Times New Roman"/>
          <w:b w:val="0"/>
          <w:bCs w:val="0"/>
          <w:color w:val="auto"/>
        </w:rPr>
        <w:t xml:space="preserve"> 隔离房间配套的卫生间排风立管不应与送风立管共用竖井且各卫生间接至立管的支风管上应设置止回阀，屋面应设总排风机。</w:t>
      </w:r>
    </w:p>
    <w:p w14:paraId="41F5143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9.0.9 隔离房间的排风量应满足以下要求：</w:t>
      </w:r>
    </w:p>
    <w:p w14:paraId="72143CF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.0.9.1</w:t>
      </w:r>
      <w:r>
        <w:rPr>
          <w:rFonts w:hint="eastAsia" w:ascii="Times New Roman" w:hAnsi="Times New Roman" w:eastAsia="方正仿宋_GB2312" w:cs="Times New Roman"/>
          <w:b w:val="0"/>
          <w:bCs w:val="0"/>
          <w:color w:val="auto"/>
        </w:rPr>
        <w:t xml:space="preserve"> 隔离房间配套的卫生间应设置机械排风，排风换气次数不小于12次/时；</w:t>
      </w:r>
    </w:p>
    <w:p w14:paraId="0D74C80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.0.9.2</w:t>
      </w:r>
      <w:r>
        <w:rPr>
          <w:rFonts w:hint="eastAsia" w:ascii="Times New Roman" w:hAnsi="Times New Roman" w:eastAsia="方正仿宋_GB2312" w:cs="Times New Roman"/>
          <w:b w:val="0"/>
          <w:bCs w:val="0"/>
          <w:color w:val="auto"/>
        </w:rPr>
        <w:t xml:space="preserve"> 隔离房间排风量应大于房间人均新风量；</w:t>
      </w:r>
    </w:p>
    <w:p w14:paraId="542A497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.0.9.3</w:t>
      </w:r>
      <w:r>
        <w:rPr>
          <w:rFonts w:hint="eastAsia" w:ascii="Times New Roman" w:hAnsi="Times New Roman" w:eastAsia="方正仿宋_GB2312" w:cs="Times New Roman"/>
          <w:b w:val="0"/>
          <w:bCs w:val="0"/>
          <w:color w:val="auto"/>
        </w:rPr>
        <w:t xml:space="preserve"> 改建的隔离房间利用原有空调和排风系统时，独立卫生间排风换气次数不小于12次/时，且人均排风量应大于120m</w:t>
      </w:r>
      <w:r>
        <w:rPr>
          <w:rFonts w:ascii="Cambria" w:hAnsi="Cambria" w:eastAsia="方正仿宋_GB2312" w:cs="Cambria"/>
          <w:b w:val="0"/>
          <w:bCs w:val="0"/>
          <w:color w:val="auto"/>
        </w:rPr>
        <w:t>³</w:t>
      </w:r>
      <w:r>
        <w:rPr>
          <w:rFonts w:hint="eastAsia" w:ascii="Times New Roman" w:hAnsi="Times New Roman" w:eastAsia="方正仿宋_GB2312" w:cs="Times New Roman"/>
          <w:b w:val="0"/>
          <w:bCs w:val="0"/>
          <w:color w:val="auto"/>
        </w:rPr>
        <w:t>/h。</w:t>
      </w:r>
    </w:p>
    <w:p w14:paraId="75508E4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9.0.10 隔离房间走廊宜满足自然通风要求。</w:t>
      </w:r>
    </w:p>
    <w:p w14:paraId="2E6E266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9.0.11 隔离房间的送、排风支管上宜安装手动或电动密闭阀；密闭阀的开关应方便操作并有明显标识。</w:t>
      </w:r>
    </w:p>
    <w:p w14:paraId="52C4590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送、排风设备宜分别设在专用机房内或室外安全处，其设置应符合下列规定：</w:t>
      </w:r>
    </w:p>
    <w:p w14:paraId="5198DF1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.0.12.1</w:t>
      </w:r>
      <w:r>
        <w:rPr>
          <w:rFonts w:hint="eastAsia" w:ascii="Times New Roman" w:hAnsi="Times New Roman" w:eastAsia="方正仿宋_GB2312" w:cs="Times New Roman"/>
          <w:b w:val="0"/>
          <w:bCs w:val="0"/>
          <w:color w:val="auto"/>
        </w:rPr>
        <w:t xml:space="preserve"> 服务于工作准备区的送、排风设备及机房应位于工作准备区</w:t>
      </w:r>
      <w:r>
        <w:rPr>
          <w:rFonts w:hint="eastAsia" w:ascii="Times New Roman" w:hAnsi="Times New Roman" w:eastAsia="方正仿宋_GB2312" w:cs="Times New Roman"/>
          <w:b w:val="0"/>
          <w:bCs w:val="0"/>
          <w:color w:val="auto"/>
          <w:lang w:eastAsia="zh-CN"/>
        </w:rPr>
        <w:t>；</w:t>
      </w:r>
    </w:p>
    <w:p w14:paraId="70B3B5B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.0.12.2</w:t>
      </w:r>
      <w:r>
        <w:rPr>
          <w:rFonts w:hint="eastAsia" w:ascii="Times New Roman" w:hAnsi="Times New Roman" w:eastAsia="方正仿宋_GB2312" w:cs="Times New Roman"/>
          <w:b w:val="0"/>
          <w:bCs w:val="0"/>
          <w:color w:val="auto"/>
        </w:rPr>
        <w:t xml:space="preserve"> 服务于隔离安置区、缓冲区的送风设备及机房宜位于工作准备区</w:t>
      </w:r>
      <w:r>
        <w:rPr>
          <w:rFonts w:hint="eastAsia" w:ascii="Times New Roman" w:hAnsi="Times New Roman" w:eastAsia="方正仿宋_GB2312" w:cs="Times New Roman"/>
          <w:b w:val="0"/>
          <w:bCs w:val="0"/>
          <w:color w:val="auto"/>
          <w:lang w:eastAsia="zh-CN"/>
        </w:rPr>
        <w:t>；</w:t>
      </w:r>
    </w:p>
    <w:p w14:paraId="394E51E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.0.12.3</w:t>
      </w:r>
      <w:r>
        <w:rPr>
          <w:rFonts w:hint="eastAsia" w:ascii="Times New Roman" w:hAnsi="Times New Roman" w:eastAsia="方正仿宋_GB2312" w:cs="Times New Roman"/>
          <w:b w:val="0"/>
          <w:bCs w:val="0"/>
          <w:color w:val="auto"/>
        </w:rPr>
        <w:t xml:space="preserve"> 服务于隔离安置区、缓冲区的排风机应设置在室外，并应设在排风管路末端</w:t>
      </w:r>
      <w:r>
        <w:rPr>
          <w:rFonts w:hint="eastAsia" w:ascii="Times New Roman" w:hAnsi="Times New Roman" w:eastAsia="方正仿宋_GB2312" w:cs="Times New Roman"/>
          <w:b w:val="0"/>
          <w:bCs w:val="0"/>
          <w:color w:val="auto"/>
          <w:lang w:eastAsia="zh-CN"/>
        </w:rPr>
        <w:t>；</w:t>
      </w:r>
    </w:p>
    <w:p w14:paraId="0CA97FB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w:t>
      </w:r>
      <w:r>
        <w:rPr>
          <w:rFonts w:ascii="Times New Roman" w:hAnsi="Times New Roman" w:eastAsia="方正仿宋_GB2312" w:cs="Times New Roman"/>
          <w:b w:val="0"/>
          <w:bCs w:val="0"/>
          <w:color w:val="auto"/>
        </w:rPr>
        <w:t>.0.12.4</w:t>
      </w:r>
      <w:r>
        <w:rPr>
          <w:rFonts w:hint="eastAsia" w:ascii="Times New Roman" w:hAnsi="Times New Roman" w:eastAsia="方正仿宋_GB2312" w:cs="Times New Roman"/>
          <w:b w:val="0"/>
          <w:bCs w:val="0"/>
          <w:color w:val="auto"/>
        </w:rPr>
        <w:t xml:space="preserve"> 应预留有安装中高效过滤器及杀菌装置的空间。</w:t>
      </w:r>
    </w:p>
    <w:p w14:paraId="5D952CB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9.0.13</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机械送风、排风系统应联锁控制。工作准备区先启动送风机，再启动排风机；缓冲区和隔离安置区应先启动排风机，再启动送风机；各区域之间风机先后启动顺序为隔离安置区、缓冲区和工作准备区。</w:t>
      </w:r>
    </w:p>
    <w:p w14:paraId="3EE0C91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9.0.14 平急两用通风空调系统应制定维护保养管理制度及操作规程。每半年应对其风机、风阀及风口进行自动和手动启动试验一次。</w:t>
      </w:r>
    </w:p>
    <w:p w14:paraId="5DB9B36E">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65E9E17C">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4" w:name="_Toc215674231"/>
      <w:r>
        <w:rPr>
          <w:rFonts w:hint="eastAsia" w:ascii="Times New Roman" w:hAnsi="Times New Roman" w:eastAsia="黑体" w:cs="Times New Roman"/>
          <w:b w:val="0"/>
          <w:snapToGrid w:val="0"/>
          <w:kern w:val="0"/>
          <w:sz w:val="40"/>
          <w:szCs w:val="40"/>
          <w:lang w:eastAsia="en-US"/>
        </w:rPr>
        <w:t>10</w:t>
      </w:r>
      <w:r>
        <w:rPr>
          <w:rFonts w:ascii="Times New Roman" w:hAnsi="Times New Roman" w:eastAsia="黑体" w:cs="Times New Roman"/>
          <w:b w:val="0"/>
          <w:snapToGrid w:val="0"/>
          <w:kern w:val="0"/>
          <w:sz w:val="40"/>
          <w:szCs w:val="40"/>
          <w:lang w:eastAsia="en-US"/>
        </w:rPr>
        <w:t xml:space="preserve">  </w:t>
      </w:r>
      <w:r>
        <w:rPr>
          <w:rFonts w:hint="eastAsia" w:ascii="Times New Roman" w:hAnsi="Times New Roman" w:eastAsia="黑体" w:cs="Times New Roman"/>
          <w:b w:val="0"/>
          <w:snapToGrid w:val="0"/>
          <w:kern w:val="0"/>
          <w:sz w:val="40"/>
          <w:szCs w:val="40"/>
          <w:lang w:eastAsia="en-US"/>
        </w:rPr>
        <w:t>电</w:t>
      </w:r>
      <w:r>
        <w:rPr>
          <w:rFonts w:hint="eastAsia" w:ascii="Times New Roman" w:hAnsi="Times New Roman" w:eastAsia="黑体" w:cs="Times New Roman"/>
          <w:b w:val="0"/>
          <w:snapToGrid w:val="0"/>
          <w:kern w:val="0"/>
          <w:sz w:val="40"/>
          <w:szCs w:val="40"/>
        </w:rPr>
        <w:t>气</w:t>
      </w:r>
      <w:bookmarkEnd w:id="44"/>
    </w:p>
    <w:p w14:paraId="0F1DBFB1">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7C4F80D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 “平急两用”新建建筑及既有建筑改造电气设计，应同时满足建筑物对负荷等级、供配电系统和电源的要求。</w:t>
      </w:r>
    </w:p>
    <w:p w14:paraId="110F69E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10.0.2</w:t>
      </w:r>
      <w:r>
        <w:rPr>
          <w:rFonts w:hint="eastAsia" w:ascii="Times New Roman" w:hAnsi="Times New Roman" w:eastAsia="方正仿宋_GB2312" w:cs="Times New Roman"/>
          <w:b w:val="0"/>
          <w:bCs w:val="0"/>
          <w:color w:val="auto"/>
        </w:rPr>
        <w:t xml:space="preserve"> 新建</w:t>
      </w:r>
      <w:r>
        <w:rPr>
          <w:rFonts w:ascii="Times New Roman" w:hAnsi="Times New Roman" w:eastAsia="方正仿宋_GB2312" w:cs="Times New Roman"/>
          <w:b w:val="0"/>
          <w:bCs w:val="0"/>
          <w:color w:val="auto"/>
        </w:rPr>
        <w:t>变配电室或户外预装式变电站应设置</w:t>
      </w:r>
      <w:r>
        <w:rPr>
          <w:rFonts w:hint="eastAsia" w:ascii="Times New Roman" w:hAnsi="Times New Roman" w:eastAsia="方正仿宋_GB2312" w:cs="Times New Roman"/>
          <w:b w:val="0"/>
          <w:bCs w:val="0"/>
          <w:color w:val="auto"/>
        </w:rPr>
        <w:t>在地面层，其场地高程应高于</w:t>
      </w:r>
      <w:r>
        <w:rPr>
          <w:rFonts w:ascii="Times New Roman" w:hAnsi="Times New Roman" w:eastAsia="方正仿宋_GB2312" w:cs="Times New Roman"/>
          <w:b w:val="0"/>
          <w:bCs w:val="0"/>
          <w:color w:val="auto"/>
        </w:rPr>
        <w:t>当地防涝用地高程或</w:t>
      </w:r>
      <w:r>
        <w:rPr>
          <w:rFonts w:hint="eastAsia" w:ascii="Times New Roman" w:hAnsi="Times New Roman" w:eastAsia="方正仿宋_GB2312" w:cs="Times New Roman"/>
          <w:b w:val="0"/>
          <w:bCs w:val="0"/>
          <w:color w:val="auto"/>
        </w:rPr>
        <w:t>当地</w:t>
      </w:r>
      <w:r>
        <w:rPr>
          <w:rFonts w:ascii="Times New Roman" w:hAnsi="Times New Roman" w:eastAsia="方正仿宋_GB2312" w:cs="Times New Roman"/>
          <w:b w:val="0"/>
          <w:bCs w:val="0"/>
          <w:color w:val="auto"/>
        </w:rPr>
        <w:t>历史最高水位。</w:t>
      </w:r>
    </w:p>
    <w:p w14:paraId="175E0DF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10.0.3</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应在</w:t>
      </w:r>
      <w:bookmarkStart w:id="45" w:name="OLE_LINK31"/>
      <w:bookmarkStart w:id="46" w:name="OLE_LINK30"/>
      <w:r>
        <w:rPr>
          <w:rFonts w:hint="eastAsia" w:ascii="Times New Roman" w:hAnsi="Times New Roman" w:eastAsia="方正仿宋_GB2312" w:cs="Times New Roman"/>
          <w:b w:val="0"/>
          <w:bCs w:val="0"/>
          <w:color w:val="auto"/>
          <w:lang w:eastAsia="zh-CN"/>
        </w:rPr>
        <w:t>新建</w:t>
      </w:r>
      <w:bookmarkEnd w:id="45"/>
      <w:bookmarkEnd w:id="46"/>
      <w:r>
        <w:rPr>
          <w:rFonts w:ascii="Times New Roman" w:hAnsi="Times New Roman" w:eastAsia="方正仿宋_GB2312" w:cs="Times New Roman"/>
          <w:b w:val="0"/>
          <w:bCs w:val="0"/>
          <w:color w:val="auto"/>
        </w:rPr>
        <w:t>变配电室或总配电室等适当位置预留“急时”电源接口及场地，满足“急时”电源容量快速扩展的需要。</w:t>
      </w:r>
    </w:p>
    <w:p w14:paraId="0E49C6A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10.0.4 应急电源采用柴油发电机组时，在市电停电15s内应自动启动并保证30s内供电。当柴油发电机组的启动时间不满足应急用电设备允许断电时间时，应设置不间断电源装置。</w:t>
      </w:r>
    </w:p>
    <w:p w14:paraId="3F56779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10.0.5 建筑物内的各级配电箱、柜应考虑“平时”和“急时”状态需要，预留充裕的出线开关容量</w:t>
      </w:r>
      <w:r>
        <w:rPr>
          <w:rFonts w:hint="eastAsia" w:ascii="Times New Roman" w:hAnsi="Times New Roman" w:eastAsia="方正仿宋_GB2312" w:cs="Times New Roman"/>
          <w:b w:val="0"/>
          <w:bCs w:val="0"/>
          <w:color w:val="auto"/>
        </w:rPr>
        <w:t>及</w:t>
      </w:r>
      <w:r>
        <w:rPr>
          <w:rFonts w:ascii="Times New Roman" w:hAnsi="Times New Roman" w:eastAsia="方正仿宋_GB2312" w:cs="Times New Roman"/>
          <w:b w:val="0"/>
          <w:bCs w:val="0"/>
          <w:color w:val="auto"/>
        </w:rPr>
        <w:t>馈电回路数。</w:t>
      </w:r>
    </w:p>
    <w:p w14:paraId="7336B8E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10.0.6 低压配电系统回路应按隔离区</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缓冲区和工作准备区分区设置。公共配电箱（柜）、控制箱（柜）宜设置在隔离区外的专用配电间或管理用房内。</w:t>
      </w:r>
    </w:p>
    <w:p w14:paraId="1560D9C7">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10.0.7</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新建建筑按“平急两用”设计时，应具备应急状态下的改造条件，预留相关转换接口。既有建筑改建、扩建设计，应充分利用原有电气系统，改造设计时新增临时配电箱、集中电源、控制柜等电气设备宜选用成套产品，确保转换方便快捷。</w:t>
      </w:r>
    </w:p>
    <w:p w14:paraId="3F8F690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10.0.8 新建建筑电缆进建筑物处应根据项目规模预留“急时”电缆穿墙套管，套管应采取止水措施，平时做好防火封堵。</w:t>
      </w:r>
    </w:p>
    <w:p w14:paraId="7BBC30A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10.0.9 隔离观察房间内应预留“急时”</w:t>
      </w:r>
      <w:r>
        <w:rPr>
          <w:rFonts w:hint="eastAsia" w:ascii="Times New Roman" w:hAnsi="Times New Roman" w:eastAsia="方正仿宋_GB2312" w:cs="Times New Roman"/>
          <w:b w:val="0"/>
          <w:bCs w:val="0"/>
          <w:color w:val="auto"/>
        </w:rPr>
        <w:t>临时</w:t>
      </w:r>
      <w:r>
        <w:rPr>
          <w:rFonts w:ascii="Times New Roman" w:hAnsi="Times New Roman" w:eastAsia="方正仿宋_GB2312" w:cs="Times New Roman"/>
          <w:b w:val="0"/>
          <w:bCs w:val="0"/>
          <w:color w:val="auto"/>
        </w:rPr>
        <w:t>用电设备的供电插座；房间内的灯具、开关、插座等设备应易于擦拭和消毒。缓冲区</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隔离安置区走道</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预留紫外线消毒灯插座或紫外线灯消毒设施，灯具安装高度宜为1.8m~2.5m，灯具及其控制开关均应设专用标识。人员主要出入口处应设置供“急时”清扫、消毒、人员信息采集、测温、安检等设备使用的电源插座。所有插座均应采用安全型</w:t>
      </w:r>
      <w:r>
        <w:rPr>
          <w:rFonts w:hint="eastAsia" w:ascii="Times New Roman" w:hAnsi="Times New Roman" w:eastAsia="方正仿宋_GB2312" w:cs="Times New Roman"/>
          <w:b w:val="0"/>
          <w:bCs w:val="0"/>
          <w:color w:val="auto"/>
        </w:rPr>
        <w:t>插座</w:t>
      </w:r>
      <w:r>
        <w:rPr>
          <w:rFonts w:ascii="Times New Roman" w:hAnsi="Times New Roman" w:eastAsia="方正仿宋_GB2312" w:cs="Times New Roman"/>
          <w:b w:val="0"/>
          <w:bCs w:val="0"/>
          <w:color w:val="auto"/>
        </w:rPr>
        <w:t>。</w:t>
      </w:r>
    </w:p>
    <w:p w14:paraId="7DA3D9C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10.0.10</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消防应急照明和疏散指示系统、火灾自动报警系统、消防设备配电系统等设计应兼顾“急时”情况，方便进行转换或预留转换条件。</w:t>
      </w:r>
    </w:p>
    <w:p w14:paraId="11E6700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10.0.11 电气线路穿越“平时”防火分区隔墙的缝隙及槽口、管口应采用不燃材料可靠密封；穿越“急时”隔离区、工作准备区和缓冲区隔墙的缝隙及槽口、管口也应采用不燃材料可靠密封。</w:t>
      </w:r>
    </w:p>
    <w:p w14:paraId="5065649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10.0.12 新建建筑和既有建筑改造部分所有电线电缆的燃烧性能、产烟毒性、燃烧滴落物/微粒等级以及火灾自动报警系统线缆的选型、敷设、燃烧性能、连续供电时间等，均应符合现行国家标准的规定</w:t>
      </w:r>
      <w:r>
        <w:rPr>
          <w:rFonts w:hint="eastAsia" w:ascii="Times New Roman" w:hAnsi="Times New Roman" w:eastAsia="方正仿宋_GB2312" w:cs="Times New Roman"/>
          <w:b w:val="0"/>
          <w:bCs w:val="0"/>
          <w:color w:val="auto"/>
        </w:rPr>
        <w:t>。</w:t>
      </w:r>
    </w:p>
    <w:p w14:paraId="5CD09B5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10.0.13</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急时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所需的等电位联结端子箱、配电主干线路的桥架、线槽及保护管等宜先期预埋到位，但不应影响“平时”状态的使用功能和建筑效果。</w:t>
      </w:r>
    </w:p>
    <w:p w14:paraId="0F53F8C7">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2CC0BB70">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7" w:name="_Toc215674232"/>
      <w:r>
        <w:rPr>
          <w:rFonts w:ascii="Times New Roman" w:hAnsi="Times New Roman" w:eastAsia="黑体" w:cs="Times New Roman"/>
          <w:b w:val="0"/>
          <w:snapToGrid w:val="0"/>
          <w:kern w:val="0"/>
          <w:sz w:val="40"/>
          <w:szCs w:val="40"/>
          <w:lang w:eastAsia="en-US"/>
        </w:rPr>
        <w:t>11  智能</w:t>
      </w:r>
      <w:r>
        <w:rPr>
          <w:rFonts w:hint="eastAsia" w:ascii="Times New Roman" w:hAnsi="Times New Roman" w:eastAsia="黑体" w:cs="Times New Roman"/>
          <w:b w:val="0"/>
          <w:snapToGrid w:val="0"/>
          <w:kern w:val="0"/>
          <w:sz w:val="40"/>
          <w:szCs w:val="40"/>
        </w:rPr>
        <w:t>化</w:t>
      </w:r>
      <w:bookmarkEnd w:id="47"/>
    </w:p>
    <w:p w14:paraId="58317AFB">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01258B5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信息接入系统</w:t>
      </w:r>
      <w:r>
        <w:rPr>
          <w:rFonts w:hint="eastAsia" w:ascii="Times New Roman" w:hAnsi="Times New Roman" w:eastAsia="方正仿宋_GB2312" w:cs="Times New Roman"/>
          <w:b w:val="0"/>
          <w:bCs w:val="0"/>
          <w:color w:val="auto"/>
        </w:rPr>
        <w:t>宜采用</w:t>
      </w:r>
      <w:r>
        <w:rPr>
          <w:rFonts w:ascii="Times New Roman" w:hAnsi="Times New Roman" w:eastAsia="方正仿宋_GB2312" w:cs="Times New Roman"/>
          <w:b w:val="0"/>
          <w:bCs w:val="0"/>
          <w:color w:val="auto"/>
        </w:rPr>
        <w:t>双路由进线，保证应急状态下网络环境的正常运行。</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合理预留与交通运输管理部门、上级疾控中心、应急指挥中心、政府相应管理部门等的专用通信接口。</w:t>
      </w:r>
    </w:p>
    <w:p w14:paraId="186065A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11.0.2 “平急两用”的智能化系统</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采用</w:t>
      </w:r>
      <w:r>
        <w:rPr>
          <w:rFonts w:hint="eastAsia" w:ascii="Times New Roman" w:hAnsi="Times New Roman" w:eastAsia="方正仿宋_GB2312" w:cs="Times New Roman"/>
          <w:b w:val="0"/>
          <w:bCs w:val="0"/>
          <w:color w:val="auto"/>
        </w:rPr>
        <w:t>区</w:t>
      </w:r>
      <w:r>
        <w:rPr>
          <w:rFonts w:ascii="Times New Roman" w:hAnsi="Times New Roman" w:eastAsia="方正仿宋_GB2312" w:cs="Times New Roman"/>
          <w:b w:val="0"/>
          <w:bCs w:val="0"/>
          <w:color w:val="auto"/>
        </w:rPr>
        <w:t>域化、模块化架构。不同区域应设置独立的汇聚点、设置汇聚交换机、单独敷设光纤，便于系统升级、拓展及在“平急”状态下重新组网。系统管理平台</w:t>
      </w:r>
      <w:r>
        <w:rPr>
          <w:rFonts w:hint="eastAsia" w:ascii="Times New Roman" w:hAnsi="Times New Roman" w:eastAsia="方正仿宋_GB2312" w:cs="Times New Roman"/>
          <w:b w:val="0"/>
          <w:bCs w:val="0"/>
          <w:color w:val="auto"/>
        </w:rPr>
        <w:t>应</w:t>
      </w:r>
      <w:r>
        <w:rPr>
          <w:rFonts w:ascii="Times New Roman" w:hAnsi="Times New Roman" w:eastAsia="方正仿宋_GB2312" w:cs="Times New Roman"/>
          <w:b w:val="0"/>
          <w:bCs w:val="0"/>
          <w:color w:val="auto"/>
        </w:rPr>
        <w:t>预设“应急预案”方便快速进入“急时”管理模式。</w:t>
      </w:r>
    </w:p>
    <w:p w14:paraId="452761C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11.0.3</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既有建筑智能化改造设计应充分利用原有智能化系统、信息机房及相关设施，不应对原智能化系统产生不利影响，确保可复用。</w:t>
      </w:r>
    </w:p>
    <w:p w14:paraId="12DDD1B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11.0.4</w:t>
      </w:r>
      <w:r>
        <w:rPr>
          <w:rFonts w:hint="eastAsia" w:ascii="Times New Roman" w:hAnsi="Times New Roman" w:eastAsia="方正仿宋_GB2312" w:cs="Times New Roman"/>
          <w:b w:val="0"/>
          <w:bCs w:val="0"/>
          <w:color w:val="auto"/>
        </w:rPr>
        <w:t xml:space="preserve"> 应配置</w:t>
      </w:r>
      <w:r>
        <w:rPr>
          <w:rFonts w:ascii="Times New Roman" w:hAnsi="Times New Roman" w:eastAsia="方正仿宋_GB2312" w:cs="Times New Roman"/>
          <w:b w:val="0"/>
          <w:bCs w:val="0"/>
          <w:color w:val="auto"/>
        </w:rPr>
        <w:t>移动通信室内信号覆盖系统和无线AP系统，实现4G或5G、WiFi无线网络全覆盖，提供设备无线接入网络的条件，并为平急转换预留冗余接入能力。平急转</w:t>
      </w:r>
      <w:r>
        <w:rPr>
          <w:rFonts w:hint="eastAsia" w:ascii="Times New Roman" w:hAnsi="Times New Roman" w:eastAsia="方正仿宋_GB2312" w:cs="Times New Roman"/>
          <w:b w:val="0"/>
          <w:bCs w:val="0"/>
          <w:color w:val="auto"/>
        </w:rPr>
        <w:t>换</w:t>
      </w:r>
      <w:r>
        <w:rPr>
          <w:rFonts w:ascii="Times New Roman" w:hAnsi="Times New Roman" w:eastAsia="方正仿宋_GB2312" w:cs="Times New Roman"/>
          <w:b w:val="0"/>
          <w:bCs w:val="0"/>
          <w:color w:val="auto"/>
        </w:rPr>
        <w:t>后的各隔离观察区、隔离单元均应实现双向对讲功能。</w:t>
      </w:r>
    </w:p>
    <w:p w14:paraId="62C2214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11.0.5 智能化系统供电宜采用集中供电方式，并与本建筑最高供电等级一致；智能化机房供电宜采用放射式</w:t>
      </w:r>
      <w:r>
        <w:rPr>
          <w:rFonts w:hint="eastAsia" w:ascii="Times New Roman" w:hAnsi="Times New Roman" w:eastAsia="方正仿宋_GB2312" w:cs="Times New Roman"/>
          <w:b w:val="0"/>
          <w:bCs w:val="0"/>
          <w:color w:val="auto"/>
        </w:rPr>
        <w:t>配</w:t>
      </w:r>
      <w:r>
        <w:rPr>
          <w:rFonts w:ascii="Times New Roman" w:hAnsi="Times New Roman" w:eastAsia="方正仿宋_GB2312" w:cs="Times New Roman"/>
          <w:b w:val="0"/>
          <w:bCs w:val="0"/>
          <w:color w:val="auto"/>
        </w:rPr>
        <w:t>电方式，并具备主备</w:t>
      </w:r>
      <w:r>
        <w:rPr>
          <w:rFonts w:hint="eastAsia" w:ascii="Times New Roman" w:hAnsi="Times New Roman" w:eastAsia="方正仿宋_GB2312" w:cs="Times New Roman"/>
          <w:b w:val="0"/>
          <w:bCs w:val="0"/>
          <w:color w:val="auto"/>
        </w:rPr>
        <w:t>电</w:t>
      </w:r>
      <w:r>
        <w:rPr>
          <w:rFonts w:ascii="Times New Roman" w:hAnsi="Times New Roman" w:eastAsia="方正仿宋_GB2312" w:cs="Times New Roman"/>
          <w:b w:val="0"/>
          <w:bCs w:val="0"/>
          <w:color w:val="auto"/>
        </w:rPr>
        <w:t>自动切换功能。</w:t>
      </w:r>
    </w:p>
    <w:p w14:paraId="4C849B6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11.0.6</w:t>
      </w:r>
      <w:r>
        <w:rPr>
          <w:rFonts w:hint="eastAsia" w:ascii="Times New Roman" w:hAnsi="Times New Roman" w:eastAsia="方正仿宋_GB2312" w:cs="Times New Roman"/>
          <w:b w:val="0"/>
          <w:bCs w:val="0"/>
          <w:color w:val="auto"/>
        </w:rPr>
        <w:t xml:space="preserve"> </w:t>
      </w:r>
      <w:r>
        <w:rPr>
          <w:rFonts w:ascii="Times New Roman" w:hAnsi="Times New Roman" w:eastAsia="方正仿宋_GB2312" w:cs="Times New Roman"/>
          <w:b w:val="0"/>
          <w:bCs w:val="0"/>
          <w:color w:val="auto"/>
        </w:rPr>
        <w:t>公共广播系统宜按照隔离区、缓冲区、工作准备区功能分区划分广播回路。公共广播系统应兼顾“平时”和“急时”状态，当发生紧急状况时应自动切换至应急广播状态。广播声压级应满足国家规范标准的要求。</w:t>
      </w:r>
    </w:p>
    <w:p w14:paraId="164AB81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11.0.7</w:t>
      </w:r>
      <w:r>
        <w:rPr>
          <w:rFonts w:hint="eastAsia" w:ascii="Times New Roman" w:hAnsi="Times New Roman" w:eastAsia="方正仿宋_GB2312" w:cs="Times New Roman"/>
          <w:b w:val="0"/>
          <w:bCs w:val="0"/>
          <w:color w:val="auto"/>
        </w:rPr>
        <w:t xml:space="preserve"> 宜配置</w:t>
      </w:r>
      <w:r>
        <w:rPr>
          <w:rFonts w:ascii="Times New Roman" w:hAnsi="Times New Roman" w:eastAsia="方正仿宋_GB2312" w:cs="Times New Roman"/>
          <w:b w:val="0"/>
          <w:bCs w:val="0"/>
          <w:color w:val="auto"/>
        </w:rPr>
        <w:t>视频监控系统，在隔离区、缓冲区、工作准备区、三区人员公共出入口、车辆出入口、室外出入口、主干道、周界、重要机房区、个人防护穿戴和脱卸区</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污物存放点、污水监测点和处理间</w:t>
      </w:r>
      <w:r>
        <w:rPr>
          <w:rFonts w:hint="eastAsia" w:ascii="Times New Roman" w:hAnsi="Times New Roman" w:eastAsia="方正仿宋_GB2312" w:cs="Times New Roman"/>
          <w:b w:val="0"/>
          <w:bCs w:val="0"/>
          <w:color w:val="auto"/>
        </w:rPr>
        <w:t>及</w:t>
      </w:r>
      <w:r>
        <w:rPr>
          <w:rFonts w:ascii="Times New Roman" w:hAnsi="Times New Roman" w:eastAsia="方正仿宋_GB2312" w:cs="Times New Roman"/>
          <w:b w:val="0"/>
          <w:bCs w:val="0"/>
          <w:color w:val="auto"/>
        </w:rPr>
        <w:t>隔离人流物流和物流交接等重要环节和部位均</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无死角设置监控摄像机。隔离区、缓冲区及其他主要</w:t>
      </w:r>
      <w:r>
        <w:rPr>
          <w:rFonts w:hint="eastAsia" w:ascii="Times New Roman" w:hAnsi="Times New Roman" w:eastAsia="方正仿宋_GB2312" w:cs="Times New Roman"/>
          <w:b w:val="0"/>
          <w:bCs w:val="0"/>
          <w:color w:val="auto"/>
        </w:rPr>
        <w:t>出</w:t>
      </w:r>
      <w:r>
        <w:rPr>
          <w:rFonts w:ascii="Times New Roman" w:hAnsi="Times New Roman" w:eastAsia="方正仿宋_GB2312" w:cs="Times New Roman"/>
          <w:b w:val="0"/>
          <w:bCs w:val="0"/>
          <w:color w:val="auto"/>
        </w:rPr>
        <w:t>入口处宜预留人脸识别系统接口，人脸识别前端设备宜具有体温监测功能，必要时可设置数据联动设备实现人员信息快速筛查。隔离安置区摄像机宜具备联动公共广播喊话功能。</w:t>
      </w:r>
    </w:p>
    <w:p w14:paraId="4B8596A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11.0.8 出入口控制系统应根据管理流线和隔离区域设置，采用非接触式控制方式。宜与视频监控系统、入侵报警系统等联动。卫生通过区应设置互锁功能的门禁控制系统。隔离观察单元房门宜设置房门开启报警系统或预留安装条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“急时”启用</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当隔离人员未经许可打开房门时，报警信息传入值班室。</w:t>
      </w:r>
    </w:p>
    <w:p w14:paraId="5EF29E3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11.0.</w:t>
      </w:r>
      <w:r>
        <w:rPr>
          <w:rFonts w:ascii="Times New Roman" w:hAnsi="Times New Roman" w:eastAsia="方正仿宋_GB2312" w:cs="Times New Roman"/>
          <w:b w:val="0"/>
          <w:bCs w:val="0"/>
          <w:color w:val="auto"/>
        </w:rPr>
        <w:t>9 建筑内“平时”和“急时”设置了门禁系统的疏散门，应保证火灾时能通过消防联动控制器或其他自动解锁装置快速解除门禁</w:t>
      </w:r>
      <w:r>
        <w:rPr>
          <w:rFonts w:hint="eastAsia" w:ascii="Times New Roman" w:hAnsi="Times New Roman" w:eastAsia="方正仿宋_GB2312" w:cs="Times New Roman"/>
          <w:b w:val="0"/>
          <w:bCs w:val="0"/>
          <w:color w:val="auto"/>
        </w:rPr>
        <w:t>。</w:t>
      </w:r>
    </w:p>
    <w:p w14:paraId="1CACEB1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w:t>
      </w:r>
      <w:r>
        <w:rPr>
          <w:rFonts w:hint="eastAsia" w:ascii="Times New Roman" w:hAnsi="Times New Roman" w:eastAsia="方正仿宋_GB2312" w:cs="Times New Roman"/>
          <w:b w:val="0"/>
          <w:bCs w:val="0"/>
          <w:color w:val="auto"/>
        </w:rPr>
        <w:t xml:space="preserve">10 </w:t>
      </w:r>
      <w:r>
        <w:rPr>
          <w:rFonts w:ascii="Times New Roman" w:hAnsi="Times New Roman" w:eastAsia="方正仿宋_GB2312" w:cs="Times New Roman"/>
          <w:b w:val="0"/>
          <w:bCs w:val="0"/>
          <w:color w:val="auto"/>
        </w:rPr>
        <w:t>卫生通过区有穿戴和脱卸功能的房间内</w:t>
      </w:r>
      <w:r>
        <w:rPr>
          <w:rFonts w:hint="eastAsia" w:ascii="Times New Roman" w:hAnsi="Times New Roman" w:eastAsia="方正仿宋_GB2312" w:cs="Times New Roman"/>
          <w:b w:val="0"/>
          <w:bCs w:val="0"/>
          <w:color w:val="auto"/>
        </w:rPr>
        <w:t>宜</w:t>
      </w:r>
      <w:r>
        <w:rPr>
          <w:rFonts w:ascii="Times New Roman" w:hAnsi="Times New Roman" w:eastAsia="方正仿宋_GB2312" w:cs="Times New Roman"/>
          <w:b w:val="0"/>
          <w:bCs w:val="0"/>
          <w:color w:val="auto"/>
        </w:rPr>
        <w:t xml:space="preserve">设置双向对讲系统或预留安装条件，可实现穿戴和脱卸间内与本地控制室实时双向对讲功能。对讲功能宜通过非接触式方式开启。 </w:t>
      </w:r>
    </w:p>
    <w:p w14:paraId="30C2B66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 xml:space="preserve"> 隔离区应预留双向对讲系统管线，宜在隔离区的值班室预留对讲主机使用的网络通信接口和电源插座。隔离观察房间的床头及卫生间内便于操作的位置宜设置紧急呼叫按钮，呼叫信号可传至值班室。</w:t>
      </w:r>
    </w:p>
    <w:p w14:paraId="38DC755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 xml:space="preserve"> 宜设置</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急时</w:t>
      </w:r>
      <w:r>
        <w:rPr>
          <w:rFonts w:hint="eastAsia" w:ascii="Times New Roman" w:hAnsi="Times New Roman" w:eastAsia="方正仿宋_GB2312" w:cs="Times New Roman"/>
          <w:b w:val="0"/>
          <w:bCs w:val="0"/>
          <w:color w:val="auto"/>
        </w:rPr>
        <w:t>”</w:t>
      </w:r>
      <w:r>
        <w:rPr>
          <w:rFonts w:ascii="Times New Roman" w:hAnsi="Times New Roman" w:eastAsia="方正仿宋_GB2312" w:cs="Times New Roman"/>
          <w:b w:val="0"/>
          <w:bCs w:val="0"/>
          <w:color w:val="auto"/>
        </w:rPr>
        <w:t>建筑设备监控系统，对污染废弃物较多的区域及“急时”使用的通风换气系统宜采用集中控制和联动控制及工作状态远程监测的方式。</w:t>
      </w:r>
    </w:p>
    <w:p w14:paraId="7C8E885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 xml:space="preserve">3 </w:t>
      </w:r>
      <w:r>
        <w:rPr>
          <w:rFonts w:ascii="Times New Roman" w:hAnsi="Times New Roman" w:eastAsia="方正仿宋_GB2312" w:cs="Times New Roman"/>
          <w:b w:val="0"/>
          <w:bCs w:val="0"/>
          <w:color w:val="auto"/>
        </w:rPr>
        <w:t>应结合“急时”建筑功能布局预留“急时”火灾自动报警系统设备及管线。火灾报警控制器及回路连接设备数量应根据建筑布局变化留有充分的余量。</w:t>
      </w:r>
    </w:p>
    <w:p w14:paraId="03111D2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ascii="Times New Roman" w:hAnsi="Times New Roman" w:eastAsia="方正仿宋_GB2312" w:cs="Times New Roman"/>
          <w:b w:val="0"/>
          <w:bCs w:val="0"/>
          <w:color w:val="auto"/>
        </w:rPr>
        <w:t>11.0.1</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 智能化系统管线穿越防火分区隔墙的缝隙及槽口，管口应采用不燃材料封堵。</w:t>
      </w:r>
    </w:p>
    <w:p w14:paraId="02F82006">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2F97F5B5">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8" w:name="_Toc215674233"/>
      <w:r>
        <w:rPr>
          <w:rFonts w:ascii="Times New Roman" w:hAnsi="Times New Roman" w:eastAsia="黑体" w:cs="Times New Roman"/>
          <w:b w:val="0"/>
          <w:snapToGrid w:val="0"/>
          <w:kern w:val="0"/>
          <w:sz w:val="40"/>
          <w:szCs w:val="40"/>
          <w:lang w:eastAsia="en-US"/>
        </w:rPr>
        <w:t xml:space="preserve">12  </w:t>
      </w:r>
      <w:r>
        <w:rPr>
          <w:rFonts w:hint="eastAsia" w:ascii="Times New Roman" w:hAnsi="Times New Roman" w:eastAsia="黑体" w:cs="Times New Roman"/>
          <w:b w:val="0"/>
          <w:snapToGrid w:val="0"/>
          <w:kern w:val="0"/>
          <w:sz w:val="40"/>
          <w:szCs w:val="40"/>
          <w:lang w:eastAsia="en-US"/>
        </w:rPr>
        <w:t>平急转</w:t>
      </w:r>
      <w:r>
        <w:rPr>
          <w:rFonts w:hint="eastAsia" w:ascii="Times New Roman" w:hAnsi="Times New Roman" w:eastAsia="黑体" w:cs="Times New Roman"/>
          <w:b w:val="0"/>
          <w:snapToGrid w:val="0"/>
          <w:kern w:val="0"/>
          <w:sz w:val="40"/>
          <w:szCs w:val="40"/>
        </w:rPr>
        <w:t>换</w:t>
      </w:r>
      <w:bookmarkEnd w:id="48"/>
    </w:p>
    <w:p w14:paraId="4B4679AA">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p w14:paraId="647CB300">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 “平急两用”公共基础设施的平急转换应快速、顺畅，转换前、后应满足相关政策规范要求。</w:t>
      </w:r>
    </w:p>
    <w:p w14:paraId="48F04F9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 “平急”转换应遵循以下基本原则：</w:t>
      </w:r>
    </w:p>
    <w:p w14:paraId="5B37D73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2.0.2.1</w:t>
      </w:r>
      <w:r>
        <w:rPr>
          <w:rFonts w:hint="eastAsia" w:ascii="Times New Roman" w:hAnsi="Times New Roman" w:eastAsia="方正仿宋_GB2312" w:cs="Times New Roman"/>
          <w:b w:val="0"/>
          <w:bCs w:val="0"/>
          <w:color w:val="auto"/>
        </w:rPr>
        <w:t xml:space="preserve"> “平急”转换时应充分利用原平面格局，便于复原可逆；</w:t>
      </w:r>
    </w:p>
    <w:p w14:paraId="56D44CF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2.0.2.2</w:t>
      </w:r>
      <w:r>
        <w:rPr>
          <w:rFonts w:hint="eastAsia" w:ascii="Times New Roman" w:hAnsi="Times New Roman" w:eastAsia="方正仿宋_GB2312" w:cs="Times New Roman"/>
          <w:b w:val="0"/>
          <w:bCs w:val="0"/>
          <w:color w:val="auto"/>
        </w:rPr>
        <w:t xml:space="preserve"> “平急”转换时宜尽量沿用原有建筑构件；</w:t>
      </w:r>
    </w:p>
    <w:p w14:paraId="69AC3E8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2.0.2.3</w:t>
      </w:r>
      <w:r>
        <w:rPr>
          <w:rFonts w:hint="eastAsia" w:ascii="Times New Roman" w:hAnsi="Times New Roman" w:eastAsia="方正仿宋_GB2312" w:cs="Times New Roman"/>
          <w:b w:val="0"/>
          <w:bCs w:val="0"/>
          <w:color w:val="auto"/>
        </w:rPr>
        <w:t xml:space="preserve"> 应考虑应急状态下功能转换对楼面结构荷载的要求；</w:t>
      </w:r>
    </w:p>
    <w:p w14:paraId="78CD8C4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2.0.2.4</w:t>
      </w:r>
      <w:r>
        <w:rPr>
          <w:rFonts w:hint="eastAsia" w:ascii="Times New Roman" w:hAnsi="Times New Roman" w:eastAsia="方正仿宋_GB2312" w:cs="Times New Roman"/>
          <w:b w:val="0"/>
          <w:bCs w:val="0"/>
          <w:color w:val="auto"/>
        </w:rPr>
        <w:t xml:space="preserve"> 在原建筑外增设临时使用功能时，宜采用装配式模式贴邻原建筑进行建造。</w:t>
      </w:r>
    </w:p>
    <w:p w14:paraId="415DBB2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3</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旅游居住设施的设计应编制平急转换设计专篇（包含“平时”使用设计图纸、“急时”隔离设计图纸、场所预留设计图纸等，并包括“急时”、“三区两通道”分区示意图及流线组织、机电运行、隔离措施，以及平急转换技术措施说明、转换工程步骤、转换工程量、转换设备材料清单等）。</w:t>
      </w:r>
    </w:p>
    <w:p w14:paraId="01FCA7B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4</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场地设计时应考虑平急转换后，不占用原有消防车道、消防救援场地；室外场地应满足消防车道、消防车登高操作场地及相关消防设施的设置要求；不宜改变建筑原有防火分区的划分，应尽量利用原建筑中的消防疏散通道及安全出口；应急公共基础设施与其他建（构）筑物之间的防火间距应满足国家相关规范要求。</w:t>
      </w:r>
    </w:p>
    <w:p w14:paraId="3A02B32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5 “急时”设置的各管控区域和通道，不得破坏防火分区和疏散楼梯、疏散走道设置的完整性、消防联动性；临时诊疗设备、设施的摆放不应影响疏散通行宽度，严禁占用疏散通道。</w:t>
      </w:r>
    </w:p>
    <w:p w14:paraId="3EB5F3F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6 “急时”功能宜与“平时”功能同步建设，确有困难且施工期短的设施可预留场地与接口，“急时”可采用移动方舱或装配式部品安装施工。</w:t>
      </w:r>
    </w:p>
    <w:p w14:paraId="703DBDE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7</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时”转为“急时”时，应按照“急时”设计图查验场地和建筑内部，做到无关功能退场，撤掉的物品宜存放在库房中；“平时”转为“急时”时，应按照“急时”设计图划分总平面“三区两通道”的边界，设置物理隔断或明显标识，完成“急时”场地分区。</w:t>
      </w:r>
    </w:p>
    <w:p w14:paraId="6A99D1B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8</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 xml:space="preserve">“平时”转为“急时”时，应按照“急时”设计图，将涉及的公共空间门、房间门切换到相应的门禁状态，完成“急时”建筑功能分区，并按照“急时”功能，布置室内、室外标识系统。平急转换后的室内外导视牌标识应符合平急使用场地导视牌标识要求。 </w:t>
      </w:r>
    </w:p>
    <w:p w14:paraId="4D5F23CC">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9 紧急情况结束后，宜快速、便捷地恢复建筑原有功能，满足日常运营需求。</w:t>
      </w:r>
    </w:p>
    <w:p w14:paraId="3700C9BB">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10 “急时”恢复“平时”时，宜将移动围栏、标识牌等“急时”特有的物品存放在专用库房内。</w:t>
      </w:r>
    </w:p>
    <w:p w14:paraId="55230E7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11 平急转换时，空调通风系统应进行控制系统模式转换，分别满足“平时”和“急时”状态空调通风系统控制需要。</w:t>
      </w:r>
    </w:p>
    <w:p w14:paraId="4818D39E">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12 平急转换时，空调通风系统阀门应进行切换，转换运行状态。 </w:t>
      </w:r>
    </w:p>
    <w:p w14:paraId="3D027D2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13 空调通风系统过滤、防护装置应按“急时”运行状态设计要求进行安装，满足“急时”运行需要。</w:t>
      </w:r>
    </w:p>
    <w:p w14:paraId="2EBB6A91">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14 可根据“急时”状态需要及具体情况，设置移动供暖、通风、空调及净化设备。</w:t>
      </w:r>
    </w:p>
    <w:p w14:paraId="399CD91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15</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建筑外墙预留的应急移动发电车供电接口套管，“平时”应做好防火封堵处理，“急时”接入应急电源电缆至变电所发电车进线柜</w:t>
      </w:r>
    </w:p>
    <w:p w14:paraId="399423A5">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 xml:space="preserve">16 结合“平急两用”需要，宜将“急时”所需的配电桥架、线槽、保护管等先期预埋到位，但不应影响“平时”正常使用功能和建筑观感。 </w:t>
      </w:r>
    </w:p>
    <w:p w14:paraId="1C6C3AA8">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17 结合“平急两用”旅游居住设施建筑功能的特殊性，宜采用电气管线与建筑结构分离的布线方式。</w:t>
      </w:r>
    </w:p>
    <w:p w14:paraId="7923F41D">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18 根据“平急两用”需要，应结合项目规模、应急隔离人员数量，采取平急结合的方式配置男女公共卫生间数量以及专用清洁、清洗场所。</w:t>
      </w:r>
    </w:p>
    <w:p w14:paraId="3271018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19 对于改扩建工程，应充分利用既有建筑给排水设施，短时间内以最小的成本实施改造和建设，满足“急时”功能要求，并兼顾后续恢复原建筑使用功能的需求。</w:t>
      </w:r>
    </w:p>
    <w:p w14:paraId="1EEE5CD4">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20 根据“平急两用”需要，应在保证“平时”高效运行的前提下，预留储存应急期间水量及供水设备的条件。“急时”可以迅速满足储存水量要求并将设备安装到位。</w:t>
      </w:r>
    </w:p>
    <w:p w14:paraId="0BE7636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21 污水处理应采取平急结合的方式，保证安全可靠、经济合理。</w:t>
      </w:r>
    </w:p>
    <w:p w14:paraId="614A9ECA">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w:t>
      </w:r>
      <w:r>
        <w:rPr>
          <w:rFonts w:ascii="Times New Roman" w:hAnsi="Times New Roman" w:eastAsia="方正仿宋_GB2312" w:cs="Times New Roman"/>
          <w:b w:val="0"/>
          <w:bCs w:val="0"/>
          <w:color w:val="auto"/>
        </w:rPr>
        <w:t xml:space="preserve">2 </w:t>
      </w:r>
      <w:r>
        <w:rPr>
          <w:rFonts w:hint="eastAsia" w:ascii="Times New Roman" w:hAnsi="Times New Roman" w:eastAsia="方正仿宋_GB2312" w:cs="Times New Roman"/>
          <w:b w:val="0"/>
          <w:bCs w:val="0"/>
          <w:color w:val="auto"/>
        </w:rPr>
        <w:t>平急转换后的无障碍设计应满足无障碍规范要求。</w:t>
      </w:r>
    </w:p>
    <w:p w14:paraId="057AAA1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12.</w:t>
      </w:r>
      <w:r>
        <w:rPr>
          <w:rFonts w:ascii="Times New Roman" w:hAnsi="Times New Roman" w:eastAsia="方正仿宋_GB2312" w:cs="Times New Roman"/>
          <w:b w:val="0"/>
          <w:bCs w:val="0"/>
          <w:color w:val="auto"/>
        </w:rPr>
        <w:t>0.</w:t>
      </w:r>
      <w:r>
        <w:rPr>
          <w:rFonts w:hint="eastAsia" w:ascii="Times New Roman" w:hAnsi="Times New Roman" w:eastAsia="方正仿宋_GB2312" w:cs="Times New Roman"/>
          <w:b w:val="0"/>
          <w:bCs w:val="0"/>
          <w:color w:val="auto"/>
        </w:rPr>
        <w:t>23 应急期间的临时板房、物理隔断、设施等使用的材料，其耐火性能、污染指标应符合相关消防、环保的标准和规定；其装修构件和材料应选用难燃或不燃材料，并应符合现行国家标准《建筑防火通用规范》GB 55037和《建筑内部装修设计防火规范》GB 50222的规定。</w:t>
      </w:r>
    </w:p>
    <w:p w14:paraId="0AC6CF77">
      <w:pPr>
        <w:widowControl/>
        <w:suppressLineNumbers/>
        <w:wordWrap w:val="0"/>
        <w:topLinePunct/>
        <w:spacing w:line="360" w:lineRule="auto"/>
        <w:rPr>
          <w:rFonts w:ascii="宋体" w:hAnsi="宋体" w:eastAsia="宋体"/>
          <w:bCs/>
          <w:sz w:val="28"/>
          <w:szCs w:val="28"/>
        </w:rPr>
      </w:pPr>
      <w:r>
        <w:rPr>
          <w:rFonts w:ascii="宋体" w:hAnsi="宋体" w:eastAsia="宋体"/>
          <w:bCs/>
          <w:sz w:val="28"/>
          <w:szCs w:val="28"/>
        </w:rPr>
        <w:br w:type="page"/>
      </w:r>
    </w:p>
    <w:p w14:paraId="65814413">
      <w:pPr>
        <w:pStyle w:val="3"/>
        <w:keepNext w:val="0"/>
        <w:keepLines w:val="0"/>
        <w:widowControl/>
        <w:topLinePunct/>
        <w:adjustRightInd w:val="0"/>
        <w:spacing w:before="0" w:after="0" w:line="600" w:lineRule="exact"/>
        <w:contextualSpacing/>
        <w:jc w:val="center"/>
        <w:textAlignment w:val="baseline"/>
        <w:rPr>
          <w:rFonts w:ascii="Times New Roman" w:hAnsi="Times New Roman" w:eastAsia="黑体" w:cs="Times New Roman"/>
          <w:b w:val="0"/>
          <w:snapToGrid w:val="0"/>
          <w:kern w:val="0"/>
          <w:sz w:val="40"/>
          <w:szCs w:val="40"/>
          <w:lang w:eastAsia="en-US"/>
        </w:rPr>
      </w:pPr>
      <w:bookmarkStart w:id="49" w:name="_Toc215674234"/>
      <w:r>
        <w:rPr>
          <w:rFonts w:hint="eastAsia" w:ascii="Times New Roman" w:hAnsi="Times New Roman" w:eastAsia="黑体" w:cs="Times New Roman"/>
          <w:b w:val="0"/>
          <w:snapToGrid w:val="0"/>
          <w:kern w:val="0"/>
          <w:sz w:val="40"/>
          <w:szCs w:val="40"/>
          <w:lang w:eastAsia="en-US"/>
        </w:rPr>
        <w:t>1</w:t>
      </w:r>
      <w:r>
        <w:rPr>
          <w:rFonts w:ascii="Times New Roman" w:hAnsi="Times New Roman" w:eastAsia="黑体" w:cs="Times New Roman"/>
          <w:b w:val="0"/>
          <w:snapToGrid w:val="0"/>
          <w:kern w:val="0"/>
          <w:sz w:val="40"/>
          <w:szCs w:val="40"/>
          <w:lang w:eastAsia="en-US"/>
        </w:rPr>
        <w:t xml:space="preserve">3  </w:t>
      </w:r>
      <w:r>
        <w:rPr>
          <w:rFonts w:hint="eastAsia" w:ascii="Times New Roman" w:hAnsi="Times New Roman" w:eastAsia="黑体" w:cs="Times New Roman"/>
          <w:b w:val="0"/>
          <w:snapToGrid w:val="0"/>
          <w:kern w:val="0"/>
          <w:sz w:val="40"/>
          <w:szCs w:val="40"/>
          <w:lang w:eastAsia="en-US"/>
        </w:rPr>
        <w:t>运营维</w:t>
      </w:r>
      <w:r>
        <w:rPr>
          <w:rFonts w:hint="eastAsia" w:ascii="Times New Roman" w:hAnsi="Times New Roman" w:eastAsia="黑体" w:cs="Times New Roman"/>
          <w:b w:val="0"/>
          <w:snapToGrid w:val="0"/>
          <w:kern w:val="0"/>
          <w:sz w:val="40"/>
          <w:szCs w:val="40"/>
        </w:rPr>
        <w:t>护</w:t>
      </w:r>
      <w:bookmarkEnd w:id="49"/>
    </w:p>
    <w:p w14:paraId="596AEDD4">
      <w:pPr>
        <w:pStyle w:val="3"/>
        <w:keepNext w:val="0"/>
        <w:keepLines w:val="0"/>
        <w:widowControl/>
        <w:topLinePunct/>
        <w:adjustRightInd w:val="0"/>
        <w:spacing w:before="0" w:after="0" w:line="600" w:lineRule="exact"/>
        <w:contextualSpacing/>
        <w:textAlignment w:val="baseline"/>
        <w:rPr>
          <w:rFonts w:ascii="Times New Roman" w:hAnsi="Times New Roman" w:eastAsia="黑体" w:cs="Times New Roman"/>
          <w:b w:val="0"/>
          <w:snapToGrid w:val="0"/>
          <w:kern w:val="0"/>
          <w:sz w:val="40"/>
          <w:szCs w:val="40"/>
          <w:lang w:eastAsia="en-US"/>
        </w:rPr>
      </w:pPr>
    </w:p>
    <w:bookmarkEnd w:id="16"/>
    <w:bookmarkEnd w:id="17"/>
    <w:p w14:paraId="7E957703">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.0.1 “平急两用”旅游居住设施应结合基础设施条件和日常使用情况，制定“平时”和“急时”的运行管理方案，明确组织架构及人员职责，并及时完善疫情转换方案，确保能够及时应急启用。</w:t>
      </w:r>
    </w:p>
    <w:p w14:paraId="1D739AD9">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.0.2</w:t>
      </w:r>
      <w:r>
        <w:rPr>
          <w:rFonts w:ascii="Times New Roman" w:hAnsi="Times New Roman" w:eastAsia="方正仿宋_GB2312" w:cs="Times New Roman"/>
          <w:b w:val="0"/>
          <w:bCs w:val="0"/>
          <w:color w:val="auto"/>
        </w:rPr>
        <w:t xml:space="preserve"> </w:t>
      </w:r>
      <w:r>
        <w:rPr>
          <w:rFonts w:hint="eastAsia" w:ascii="Times New Roman" w:hAnsi="Times New Roman" w:eastAsia="方正仿宋_GB2312" w:cs="Times New Roman"/>
          <w:b w:val="0"/>
          <w:bCs w:val="0"/>
          <w:color w:val="auto"/>
        </w:rPr>
        <w:t>“平急两用”旅游居住设施应根据需要统筹储备必要的设备及物资，满足“急时”运行的基本要求。</w:t>
      </w:r>
    </w:p>
    <w:p w14:paraId="429A5F8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.0.3 在日常维护过程中，应对建筑的使用环境以及相应系统、设备的运行情况定期巡查检查，按照相关规定定期进行全面检查评估，及时整修维护，确保应急状态下快速安全启用。</w:t>
      </w:r>
    </w:p>
    <w:p w14:paraId="4A7D1C52">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.0.4 项目运营管理部门应定期开展必要的日常训练和应急演习，确保相关人员在“急时”能够熟练、正确地进行设施和流程的转换。</w:t>
      </w:r>
    </w:p>
    <w:p w14:paraId="309993FF">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.0.5 平急转换完成后的设施应满足属地政府相关部门与驻场医护团队的要求，且应通过政府相关部门检测、验收通过后方可投入使用，并同步移交相关归档资料。</w:t>
      </w:r>
    </w:p>
    <w:p w14:paraId="47F997B6">
      <w:pPr>
        <w:pStyle w:val="5"/>
        <w:keepNext w:val="0"/>
        <w:keepLines w:val="0"/>
        <w:kinsoku/>
        <w:topLinePunct/>
        <w:autoSpaceDE/>
        <w:autoSpaceDN/>
        <w:snapToGrid/>
        <w:spacing w:before="0" w:after="0" w:line="600" w:lineRule="exact"/>
        <w:contextualSpacing/>
        <w:jc w:val="both"/>
        <w:rPr>
          <w:rFonts w:ascii="Times New Roman" w:hAnsi="Times New Roman" w:eastAsia="方正仿宋_GB2312" w:cs="Times New Roman"/>
          <w:b w:val="0"/>
          <w:bCs w:val="0"/>
          <w:color w:val="auto"/>
        </w:rPr>
      </w:pPr>
      <w:r>
        <w:rPr>
          <w:rFonts w:hint="eastAsia" w:ascii="Times New Roman" w:hAnsi="Times New Roman" w:eastAsia="方正仿宋_GB2312" w:cs="Times New Roman"/>
          <w:b w:val="0"/>
          <w:bCs w:val="0"/>
          <w:color w:val="auto"/>
        </w:rPr>
        <w:t>1</w:t>
      </w:r>
      <w:r>
        <w:rPr>
          <w:rFonts w:ascii="Times New Roman" w:hAnsi="Times New Roman" w:eastAsia="方正仿宋_GB2312" w:cs="Times New Roman"/>
          <w:b w:val="0"/>
          <w:bCs w:val="0"/>
          <w:color w:val="auto"/>
        </w:rPr>
        <w:t>3</w:t>
      </w:r>
      <w:r>
        <w:rPr>
          <w:rFonts w:hint="eastAsia" w:ascii="Times New Roman" w:hAnsi="Times New Roman" w:eastAsia="方正仿宋_GB2312" w:cs="Times New Roman"/>
          <w:b w:val="0"/>
          <w:bCs w:val="0"/>
          <w:color w:val="auto"/>
        </w:rPr>
        <w:t>.0.6 “平急两用”旅游居住设施征用期间不得作为他用。征用结束后，应对该建筑作为临时医疗救治设施时使用的区域进行全面检查、消杀，通过综合安全评估后方可恢复其建筑原有使用功能。经评估可重复利用的材料、构件宜清理编号后存放于专用库房。</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3AB7A3-A005-44D7-B808-E2CBC49070D0}"/>
  </w:font>
  <w:font w:name="Arial">
    <w:panose1 w:val="020B0604020202020204"/>
    <w:charset w:val="01"/>
    <w:family w:val="swiss"/>
    <w:pitch w:val="default"/>
    <w:sig w:usb0="E0002EFF" w:usb1="C000785B" w:usb2="00000009" w:usb3="00000000" w:csb0="400001FF" w:csb1="FFFF0000"/>
    <w:embedRegular r:id="rId2" w:fontKey="{BFF35B6E-4E95-48DA-8666-B40805EF56C6}"/>
  </w:font>
  <w:font w:name="黑体">
    <w:panose1 w:val="02010609060101010101"/>
    <w:charset w:val="86"/>
    <w:family w:val="auto"/>
    <w:pitch w:val="default"/>
    <w:sig w:usb0="800002BF" w:usb1="38CF7CFA" w:usb2="00000016" w:usb3="00000000" w:csb0="00040001" w:csb1="00000000"/>
    <w:embedRegular r:id="rId3" w:fontKey="{EF25ECB3-E9E4-4368-A7DF-22CC0A2C53E5}"/>
  </w:font>
  <w:font w:name="Courier New">
    <w:panose1 w:val="02070309020205020404"/>
    <w:charset w:val="01"/>
    <w:family w:val="modern"/>
    <w:pitch w:val="default"/>
    <w:sig w:usb0="E0002EFF" w:usb1="C0007843" w:usb2="00000009" w:usb3="00000000" w:csb0="400001FF" w:csb1="FFFF0000"/>
    <w:embedRegular r:id="rId4" w:fontKey="{F75F305A-B015-4C57-9D1F-F93D6C3689AB}"/>
  </w:font>
  <w:font w:name="Symbol">
    <w:panose1 w:val="05050102010706020507"/>
    <w:charset w:val="02"/>
    <w:family w:val="roman"/>
    <w:pitch w:val="default"/>
    <w:sig w:usb0="00000000" w:usb1="00000000" w:usb2="00000000" w:usb3="00000000" w:csb0="80000000" w:csb1="00000000"/>
    <w:embedRegular r:id="rId5" w:fontKey="{6E4623AF-165E-4091-8A48-5785C8C682CB}"/>
  </w:font>
  <w:font w:name="Calibri">
    <w:panose1 w:val="020F0502020204030204"/>
    <w:charset w:val="00"/>
    <w:family w:val="swiss"/>
    <w:pitch w:val="default"/>
    <w:sig w:usb0="E4002EFF" w:usb1="C200247B" w:usb2="00000009" w:usb3="00000000" w:csb0="200001FF" w:csb1="00000000"/>
    <w:embedRegular r:id="rId6" w:fontKey="{85B213C0-1216-4861-8BFA-3F26B5EFE936}"/>
  </w:font>
  <w:font w:name="等线">
    <w:panose1 w:val="02010600030101010101"/>
    <w:charset w:val="86"/>
    <w:family w:val="auto"/>
    <w:pitch w:val="default"/>
    <w:sig w:usb0="A00002BF" w:usb1="38CF7CFA" w:usb2="00000016" w:usb3="00000000" w:csb0="0004000F" w:csb1="00000000"/>
    <w:embedRegular r:id="rId7" w:fontKey="{4FDC9892-4EC8-491D-A857-E913FA85595F}"/>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embedRegular r:id="rId8" w:fontKey="{79C8C42A-0B8B-4CA3-94A9-F71388655F0C}"/>
  </w:font>
  <w:font w:name="方正小标宋简体">
    <w:panose1 w:val="02010601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embedRegular r:id="rId9" w:fontKey="{9C8309B3-E25B-4558-8687-59709D4DD9A2}"/>
  </w:font>
  <w:font w:name="Cambria">
    <w:panose1 w:val="02040503050406030204"/>
    <w:charset w:val="00"/>
    <w:family w:val="roman"/>
    <w:pitch w:val="default"/>
    <w:sig w:usb0="E00006FF" w:usb1="420024FF" w:usb2="02000000" w:usb3="00000000" w:csb0="2000019F" w:csb1="00000000"/>
    <w:embedRegular r:id="rId10" w:fontKey="{FCE0B1AD-310D-4D30-99C0-4FD9271DBB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067DE">
    <w:pPr>
      <w:pStyle w:val="10"/>
      <w:jc w:val="center"/>
    </w:pPr>
  </w:p>
  <w:p w14:paraId="02BFE134">
    <w:pPr>
      <w:pStyle w:val="10"/>
      <w:jc w:val="center"/>
    </w:pPr>
  </w:p>
  <w:p w14:paraId="71973F91">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5560225"/>
      <w:docPartObj>
        <w:docPartGallery w:val="AutoText"/>
      </w:docPartObj>
    </w:sdtPr>
    <w:sdtContent>
      <w:p w14:paraId="7671D6C6">
        <w:pPr>
          <w:pStyle w:val="10"/>
          <w:jc w:val="center"/>
        </w:pPr>
        <w:r>
          <w:fldChar w:fldCharType="begin"/>
        </w:r>
        <w:r>
          <w:instrText xml:space="preserve">PAGE   \* MERGEFORMAT</w:instrText>
        </w:r>
        <w:r>
          <w:fldChar w:fldCharType="separate"/>
        </w:r>
        <w:r>
          <w:rPr>
            <w:lang w:val="zh-CN"/>
          </w:rPr>
          <w:t>2</w:t>
        </w:r>
        <w:r>
          <w:fldChar w:fldCharType="end"/>
        </w:r>
      </w:p>
    </w:sdtContent>
  </w:sdt>
  <w:p w14:paraId="48BF98F0">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BA"/>
    <w:rsid w:val="00010DFA"/>
    <w:rsid w:val="00023F8C"/>
    <w:rsid w:val="0002516D"/>
    <w:rsid w:val="00033928"/>
    <w:rsid w:val="000724D0"/>
    <w:rsid w:val="000D4BCD"/>
    <w:rsid w:val="00100F4D"/>
    <w:rsid w:val="00134673"/>
    <w:rsid w:val="00140FAA"/>
    <w:rsid w:val="00151904"/>
    <w:rsid w:val="001A7826"/>
    <w:rsid w:val="001B78BA"/>
    <w:rsid w:val="001D4C1F"/>
    <w:rsid w:val="001F7FC6"/>
    <w:rsid w:val="0021653F"/>
    <w:rsid w:val="00217A13"/>
    <w:rsid w:val="00245303"/>
    <w:rsid w:val="00255756"/>
    <w:rsid w:val="002871BA"/>
    <w:rsid w:val="00290676"/>
    <w:rsid w:val="002B3C9A"/>
    <w:rsid w:val="00320E7E"/>
    <w:rsid w:val="00367D7D"/>
    <w:rsid w:val="003B2C0D"/>
    <w:rsid w:val="003C10C5"/>
    <w:rsid w:val="003C1189"/>
    <w:rsid w:val="003F1F13"/>
    <w:rsid w:val="00412330"/>
    <w:rsid w:val="00412E43"/>
    <w:rsid w:val="0043768C"/>
    <w:rsid w:val="004459AB"/>
    <w:rsid w:val="00455711"/>
    <w:rsid w:val="00456E56"/>
    <w:rsid w:val="00464452"/>
    <w:rsid w:val="00477051"/>
    <w:rsid w:val="00487320"/>
    <w:rsid w:val="004935D7"/>
    <w:rsid w:val="004B738D"/>
    <w:rsid w:val="004C593E"/>
    <w:rsid w:val="004D545A"/>
    <w:rsid w:val="004D5B5B"/>
    <w:rsid w:val="004F75CB"/>
    <w:rsid w:val="005012BA"/>
    <w:rsid w:val="00540378"/>
    <w:rsid w:val="00557448"/>
    <w:rsid w:val="0056053E"/>
    <w:rsid w:val="00587F4C"/>
    <w:rsid w:val="00595639"/>
    <w:rsid w:val="005C6FFF"/>
    <w:rsid w:val="005D5DCC"/>
    <w:rsid w:val="005F079C"/>
    <w:rsid w:val="005F3B6B"/>
    <w:rsid w:val="00610289"/>
    <w:rsid w:val="00617439"/>
    <w:rsid w:val="0062417C"/>
    <w:rsid w:val="00637FDF"/>
    <w:rsid w:val="00657440"/>
    <w:rsid w:val="00662232"/>
    <w:rsid w:val="006B0A6F"/>
    <w:rsid w:val="006E2B13"/>
    <w:rsid w:val="006F18EC"/>
    <w:rsid w:val="00722700"/>
    <w:rsid w:val="0072397D"/>
    <w:rsid w:val="0075476D"/>
    <w:rsid w:val="00795F47"/>
    <w:rsid w:val="007E24B2"/>
    <w:rsid w:val="007F08B9"/>
    <w:rsid w:val="00831251"/>
    <w:rsid w:val="00886E23"/>
    <w:rsid w:val="0089019E"/>
    <w:rsid w:val="00892928"/>
    <w:rsid w:val="008B161D"/>
    <w:rsid w:val="008B7AE7"/>
    <w:rsid w:val="008C4B35"/>
    <w:rsid w:val="00914718"/>
    <w:rsid w:val="00916030"/>
    <w:rsid w:val="00923B41"/>
    <w:rsid w:val="00935701"/>
    <w:rsid w:val="009404D4"/>
    <w:rsid w:val="00961244"/>
    <w:rsid w:val="0096622E"/>
    <w:rsid w:val="00983CE7"/>
    <w:rsid w:val="009F0201"/>
    <w:rsid w:val="00A139A5"/>
    <w:rsid w:val="00A500E9"/>
    <w:rsid w:val="00A537D9"/>
    <w:rsid w:val="00A5431E"/>
    <w:rsid w:val="00A5542C"/>
    <w:rsid w:val="00A62870"/>
    <w:rsid w:val="00A7286C"/>
    <w:rsid w:val="00A87718"/>
    <w:rsid w:val="00A937F3"/>
    <w:rsid w:val="00AC0D06"/>
    <w:rsid w:val="00AC4286"/>
    <w:rsid w:val="00B325D4"/>
    <w:rsid w:val="00B6214A"/>
    <w:rsid w:val="00B73021"/>
    <w:rsid w:val="00B75C38"/>
    <w:rsid w:val="00B77E78"/>
    <w:rsid w:val="00B80CC2"/>
    <w:rsid w:val="00B822B6"/>
    <w:rsid w:val="00B8364A"/>
    <w:rsid w:val="00B859B4"/>
    <w:rsid w:val="00BC387E"/>
    <w:rsid w:val="00BF4538"/>
    <w:rsid w:val="00C178D5"/>
    <w:rsid w:val="00C34465"/>
    <w:rsid w:val="00C43D31"/>
    <w:rsid w:val="00C4585F"/>
    <w:rsid w:val="00C61DF0"/>
    <w:rsid w:val="00C66666"/>
    <w:rsid w:val="00C83ACD"/>
    <w:rsid w:val="00D110B6"/>
    <w:rsid w:val="00D25862"/>
    <w:rsid w:val="00D31017"/>
    <w:rsid w:val="00D325A4"/>
    <w:rsid w:val="00D4027B"/>
    <w:rsid w:val="00D87B76"/>
    <w:rsid w:val="00D977B8"/>
    <w:rsid w:val="00DD7CBE"/>
    <w:rsid w:val="00E17CB5"/>
    <w:rsid w:val="00E309AE"/>
    <w:rsid w:val="00E6079A"/>
    <w:rsid w:val="00EA525B"/>
    <w:rsid w:val="00ED6838"/>
    <w:rsid w:val="00F13C51"/>
    <w:rsid w:val="00F82527"/>
    <w:rsid w:val="00FB13F2"/>
    <w:rsid w:val="00FC0C5E"/>
    <w:rsid w:val="00FD0C95"/>
    <w:rsid w:val="49A205F2"/>
    <w:rsid w:val="59782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6" w:lineRule="auto"/>
      <w:outlineLvl w:val="0"/>
    </w:pPr>
    <w:rPr>
      <w:b/>
      <w:kern w:val="44"/>
      <w:sz w:val="44"/>
      <w:szCs w:val="2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widowControl/>
      <w:kinsoku w:val="0"/>
      <w:autoSpaceDE w:val="0"/>
      <w:autoSpaceDN w:val="0"/>
      <w:adjustRightInd w:val="0"/>
      <w:snapToGrid w:val="0"/>
      <w:spacing w:before="260" w:after="260" w:line="416" w:lineRule="auto"/>
      <w:jc w:val="left"/>
      <w:textAlignment w:val="baseline"/>
      <w:outlineLvl w:val="2"/>
    </w:pPr>
    <w:rPr>
      <w:rFonts w:ascii="Arial" w:hAnsi="Arial" w:cs="Arial"/>
      <w:b/>
      <w:bCs/>
      <w:snapToGrid w:val="0"/>
      <w:color w:val="000000"/>
      <w:kern w:val="0"/>
      <w:sz w:val="32"/>
      <w:szCs w:val="32"/>
      <w:lang w:eastAsia="en-US"/>
    </w:rPr>
  </w:style>
  <w:style w:type="paragraph" w:styleId="5">
    <w:name w:val="heading 5"/>
    <w:basedOn w:val="1"/>
    <w:next w:val="1"/>
    <w:link w:val="28"/>
    <w:unhideWhenUsed/>
    <w:qFormat/>
    <w:uiPriority w:val="9"/>
    <w:pPr>
      <w:keepNext/>
      <w:keepLines/>
      <w:widowControl/>
      <w:kinsoku w:val="0"/>
      <w:autoSpaceDE w:val="0"/>
      <w:autoSpaceDN w:val="0"/>
      <w:adjustRightInd w:val="0"/>
      <w:snapToGrid w:val="0"/>
      <w:spacing w:before="280" w:after="290" w:line="376" w:lineRule="auto"/>
      <w:jc w:val="left"/>
      <w:textAlignment w:val="baseline"/>
      <w:outlineLvl w:val="4"/>
    </w:pPr>
    <w:rPr>
      <w:rFonts w:ascii="Arial" w:hAnsi="Arial" w:cs="Arial"/>
      <w:b/>
      <w:bCs/>
      <w:snapToGrid w:val="0"/>
      <w:color w:val="000000"/>
      <w:kern w:val="0"/>
      <w:sz w:val="28"/>
      <w:szCs w:val="28"/>
      <w:lang w:eastAsia="en-US"/>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1"/>
    <w:semiHidden/>
    <w:unhideWhenUsed/>
    <w:qFormat/>
    <w:uiPriority w:val="99"/>
    <w:pPr>
      <w:jc w:val="left"/>
    </w:pPr>
  </w:style>
  <w:style w:type="paragraph" w:styleId="7">
    <w:name w:val="Body Text"/>
    <w:basedOn w:val="1"/>
    <w:link w:val="27"/>
    <w:semiHidden/>
    <w:qFormat/>
    <w:uiPriority w:val="0"/>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paragraph" w:styleId="8">
    <w:name w:val="toc 3"/>
    <w:basedOn w:val="1"/>
    <w:next w:val="1"/>
    <w:autoRedefine/>
    <w:unhideWhenUsed/>
    <w:qFormat/>
    <w:uiPriority w:val="39"/>
    <w:pPr>
      <w:widowControl/>
      <w:spacing w:after="100" w:line="259" w:lineRule="auto"/>
      <w:ind w:left="440"/>
      <w:jc w:val="left"/>
    </w:pPr>
    <w:rPr>
      <w:rFonts w:cs="Times New Roman"/>
      <w:kern w:val="0"/>
      <w:sz w:val="22"/>
    </w:rPr>
  </w:style>
  <w:style w:type="paragraph" w:styleId="9">
    <w:name w:val="Balloon Text"/>
    <w:basedOn w:val="1"/>
    <w:link w:val="20"/>
    <w:semiHidden/>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jc w:val="left"/>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7">
    <w:name w:val="Strong"/>
    <w:basedOn w:val="16"/>
    <w:qFormat/>
    <w:uiPriority w:val="22"/>
    <w:rPr>
      <w:b/>
      <w:bCs/>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批注框文本 字符"/>
    <w:basedOn w:val="16"/>
    <w:link w:val="9"/>
    <w:semiHidden/>
    <w:qFormat/>
    <w:uiPriority w:val="99"/>
    <w:rPr>
      <w:sz w:val="18"/>
      <w:szCs w:val="18"/>
    </w:rPr>
  </w:style>
  <w:style w:type="character" w:customStyle="1" w:styleId="21">
    <w:name w:val="批注文字 字符"/>
    <w:basedOn w:val="16"/>
    <w:link w:val="6"/>
    <w:semiHidden/>
    <w:qFormat/>
    <w:uiPriority w:val="99"/>
  </w:style>
  <w:style w:type="character" w:customStyle="1" w:styleId="22">
    <w:name w:val="标题 1 字符"/>
    <w:basedOn w:val="16"/>
    <w:link w:val="2"/>
    <w:qFormat/>
    <w:uiPriority w:val="9"/>
    <w:rPr>
      <w:b/>
      <w:kern w:val="44"/>
      <w:sz w:val="44"/>
      <w:szCs w:val="24"/>
    </w:rPr>
  </w:style>
  <w:style w:type="character" w:customStyle="1" w:styleId="23">
    <w:name w:val="标题 2 字符"/>
    <w:basedOn w:val="16"/>
    <w:link w:val="3"/>
    <w:qFormat/>
    <w:uiPriority w:val="9"/>
    <w:rPr>
      <w:rFonts w:asciiTheme="majorHAnsi" w:hAnsiTheme="majorHAnsi" w:eastAsiaTheme="majorEastAsia" w:cstheme="majorBidi"/>
      <w:b/>
      <w:bCs/>
      <w:sz w:val="32"/>
      <w:szCs w:val="32"/>
    </w:rPr>
  </w:style>
  <w:style w:type="paragraph" w:customStyle="1" w:styleId="2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5">
    <w:name w:val="页眉 字符"/>
    <w:basedOn w:val="16"/>
    <w:link w:val="11"/>
    <w:qFormat/>
    <w:uiPriority w:val="99"/>
    <w:rPr>
      <w:sz w:val="18"/>
      <w:szCs w:val="18"/>
    </w:rPr>
  </w:style>
  <w:style w:type="character" w:customStyle="1" w:styleId="26">
    <w:name w:val="页脚 字符"/>
    <w:basedOn w:val="16"/>
    <w:link w:val="10"/>
    <w:qFormat/>
    <w:uiPriority w:val="99"/>
    <w:rPr>
      <w:sz w:val="18"/>
      <w:szCs w:val="18"/>
    </w:rPr>
  </w:style>
  <w:style w:type="character" w:customStyle="1" w:styleId="27">
    <w:name w:val="正文文本 字符"/>
    <w:basedOn w:val="16"/>
    <w:link w:val="7"/>
    <w:semiHidden/>
    <w:qFormat/>
    <w:uiPriority w:val="0"/>
    <w:rPr>
      <w:rFonts w:ascii="Arial" w:hAnsi="Arial" w:eastAsia="Arial" w:cs="Arial"/>
      <w:snapToGrid w:val="0"/>
      <w:color w:val="000000"/>
      <w:sz w:val="21"/>
      <w:szCs w:val="21"/>
      <w:lang w:eastAsia="en-US"/>
    </w:rPr>
  </w:style>
  <w:style w:type="character" w:customStyle="1" w:styleId="28">
    <w:name w:val="标题 5 字符"/>
    <w:basedOn w:val="16"/>
    <w:link w:val="5"/>
    <w:qFormat/>
    <w:uiPriority w:val="9"/>
    <w:rPr>
      <w:rFonts w:ascii="Arial" w:hAnsi="Arial" w:cs="Arial"/>
      <w:b/>
      <w:bCs/>
      <w:snapToGrid w:val="0"/>
      <w:color w:val="000000"/>
      <w:sz w:val="28"/>
      <w:szCs w:val="28"/>
      <w:lang w:eastAsia="en-US"/>
    </w:rPr>
  </w:style>
  <w:style w:type="character" w:customStyle="1" w:styleId="29">
    <w:name w:val="标题 3 字符"/>
    <w:basedOn w:val="16"/>
    <w:link w:val="4"/>
    <w:qFormat/>
    <w:uiPriority w:val="9"/>
    <w:rPr>
      <w:rFonts w:ascii="Arial" w:hAnsi="Arial" w:cs="Arial"/>
      <w:b/>
      <w:bCs/>
      <w:snapToGrid w:val="0"/>
      <w:color w:val="000000"/>
      <w:sz w:val="32"/>
      <w:szCs w:val="32"/>
      <w:lang w:eastAsia="en-US"/>
    </w:rPr>
  </w:style>
  <w:style w:type="paragraph" w:customStyle="1" w:styleId="3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BDF8D-74B7-42F4-98F7-E51EC2CB2842}">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12188</Words>
  <Characters>13358</Characters>
  <Lines>106</Lines>
  <Paragraphs>30</Paragraphs>
  <TotalTime>0</TotalTime>
  <ScaleCrop>false</ScaleCrop>
  <LinksUpToDate>false</LinksUpToDate>
  <CharactersWithSpaces>13696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2025-12-08T01:24:00Z</dcterms:created>
  <dc:creator>Administrator</dc:creator>
  <cp:lastModifiedBy>夜鲨¹³⁸⁹¹⁷⁷¹⁷⁸⁸</cp:lastModifiedBy>
  <dcterms:modified xsi:type="dcterms:W3CDTF">2025-12-09T03:45:28Z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eyJoZGlkIjoiYWE3NzVhZDE5YzQxZmVhYzBiYzBjMGEyYTMyYmEyYmIiLCJ1c2VySWQiOiI3NjAxMTAyNDUifQ==</vt:lpwstr>
  </property>
  <property fmtid="{D5CDD505-2E9C-101B-9397-08002B2CF9AE}" pid="3" name="KSOProductBuildVer">
    <vt:lpwstr>2052-12.1.0.23542</vt:lpwstr>
  </property>
  <property fmtid="{D5CDD505-2E9C-101B-9397-08002B2CF9AE}" pid="4" name="ICV">
    <vt:lpwstr>A3AF698177704740BEA089ACC0BE6C8F_12</vt:lpwstr>
  </property>
</Properties>
</file>