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F5A52A">
      <w:pPr>
        <w:pStyle w:val="27"/>
        <w:keepNext w:val="0"/>
        <w:keepLines w:val="0"/>
        <w:suppressLineNumbers/>
        <w:spacing w:before="0" w:line="580" w:lineRule="exact"/>
        <w:rPr>
          <w:rFonts w:hint="eastAsia" w:ascii="Times New Roman" w:hAnsi="Times New Roman" w:eastAsia="黑体" w:cs="Times New Roman"/>
          <w:bCs/>
          <w:color w:val="auto"/>
          <w:spacing w:val="-4"/>
          <w:kern w:val="36"/>
          <w:lang w:eastAsia="zh-CN"/>
        </w:rPr>
      </w:pPr>
      <w:r>
        <w:rPr>
          <w:rFonts w:hint="eastAsia" w:ascii="Times New Roman" w:hAnsi="Times New Roman" w:eastAsia="黑体" w:cs="Times New Roman"/>
          <w:bCs/>
          <w:color w:val="auto"/>
          <w:spacing w:val="-4"/>
          <w:kern w:val="36"/>
        </w:rPr>
        <w:t>附件</w:t>
      </w:r>
      <w:r>
        <w:rPr>
          <w:rFonts w:hint="eastAsia" w:ascii="Times New Roman" w:hAnsi="Times New Roman" w:eastAsia="黑体" w:cs="Times New Roman"/>
          <w:bCs/>
          <w:color w:val="auto"/>
          <w:spacing w:val="-4"/>
          <w:kern w:val="36"/>
          <w:lang w:val="en-US" w:eastAsia="zh-CN"/>
        </w:rPr>
        <w:t>2</w:t>
      </w:r>
    </w:p>
    <w:p w14:paraId="2251ED71">
      <w:pPr>
        <w:pStyle w:val="7"/>
        <w:kinsoku/>
        <w:wordWrap w:val="0"/>
        <w:topLinePunct/>
        <w:autoSpaceDE/>
        <w:autoSpaceDN/>
        <w:snapToGrid/>
        <w:spacing w:line="360" w:lineRule="auto"/>
        <w:contextualSpacing/>
        <w:rPr>
          <w:rFonts w:ascii="宋体" w:hAnsi="宋体" w:eastAsia="宋体"/>
          <w:color w:val="auto"/>
        </w:rPr>
      </w:pPr>
      <w:bookmarkStart w:id="0" w:name="_Toc213278492"/>
      <w:bookmarkStart w:id="1" w:name="_Toc213281184"/>
    </w:p>
    <w:p w14:paraId="3C0EDEE5">
      <w:pPr>
        <w:pStyle w:val="7"/>
        <w:kinsoku/>
        <w:wordWrap w:val="0"/>
        <w:topLinePunct/>
        <w:autoSpaceDE/>
        <w:autoSpaceDN/>
        <w:snapToGrid/>
        <w:spacing w:line="360" w:lineRule="auto"/>
        <w:contextualSpacing/>
        <w:rPr>
          <w:rFonts w:ascii="宋体" w:hAnsi="宋体" w:eastAsia="宋体"/>
          <w:color w:val="auto"/>
        </w:rPr>
      </w:pPr>
    </w:p>
    <w:p w14:paraId="2189BEAD">
      <w:pPr>
        <w:pStyle w:val="7"/>
        <w:kinsoku/>
        <w:wordWrap w:val="0"/>
        <w:topLinePunct/>
        <w:autoSpaceDE/>
        <w:autoSpaceDN/>
        <w:snapToGrid/>
        <w:spacing w:line="360" w:lineRule="auto"/>
        <w:contextualSpacing/>
        <w:rPr>
          <w:rFonts w:ascii="宋体" w:hAnsi="宋体" w:eastAsia="宋体"/>
          <w:color w:val="auto"/>
        </w:rPr>
      </w:pPr>
    </w:p>
    <w:p w14:paraId="3C64B143">
      <w:pPr>
        <w:pStyle w:val="7"/>
        <w:kinsoku/>
        <w:wordWrap w:val="0"/>
        <w:topLinePunct/>
        <w:autoSpaceDE/>
        <w:autoSpaceDN/>
        <w:snapToGrid/>
        <w:spacing w:line="360" w:lineRule="auto"/>
        <w:contextualSpacing/>
        <w:rPr>
          <w:rFonts w:ascii="宋体" w:hAnsi="宋体" w:eastAsia="宋体"/>
          <w:color w:val="auto"/>
        </w:rPr>
      </w:pPr>
    </w:p>
    <w:p w14:paraId="7DF13CF0">
      <w:pPr>
        <w:pStyle w:val="7"/>
        <w:kinsoku/>
        <w:wordWrap w:val="0"/>
        <w:topLinePunct/>
        <w:autoSpaceDE/>
        <w:autoSpaceDN/>
        <w:snapToGrid/>
        <w:spacing w:line="360" w:lineRule="auto"/>
        <w:contextualSpacing/>
        <w:rPr>
          <w:rFonts w:ascii="宋体" w:hAnsi="宋体" w:eastAsia="宋体"/>
          <w:color w:val="auto"/>
        </w:rPr>
      </w:pPr>
    </w:p>
    <w:p w14:paraId="1D209AB4">
      <w:pPr>
        <w:pStyle w:val="2"/>
        <w:wordWrap w:val="0"/>
        <w:topLinePunct/>
        <w:spacing w:line="360" w:lineRule="auto"/>
        <w:ind w:left="-23" w:leftChars="-202" w:right="-340" w:rightChars="-162" w:hanging="401" w:hangingChars="99"/>
        <w:contextualSpacing/>
        <w:jc w:val="center"/>
        <w:rPr>
          <w:rFonts w:ascii="Times New Roman" w:hAnsi="Times New Roman" w:eastAsia="方正小标宋简体" w:cs="Times New Roman"/>
          <w:b w:val="0"/>
          <w:spacing w:val="-6"/>
          <w:w w:val="95"/>
          <w:kern w:val="36"/>
        </w:rPr>
      </w:pPr>
      <w:r>
        <w:rPr>
          <w:rFonts w:hint="eastAsia" w:ascii="Times New Roman" w:hAnsi="Times New Roman" w:eastAsia="方正小标宋简体" w:cs="Times New Roman"/>
          <w:b w:val="0"/>
          <w:spacing w:val="-6"/>
          <w:w w:val="95"/>
          <w:kern w:val="36"/>
        </w:rPr>
        <w:t>宝鸡</w:t>
      </w:r>
      <w:r>
        <w:rPr>
          <w:rFonts w:ascii="Times New Roman" w:hAnsi="Times New Roman" w:eastAsia="方正小标宋简体" w:cs="Times New Roman"/>
          <w:b w:val="0"/>
          <w:spacing w:val="-6"/>
          <w:w w:val="95"/>
          <w:kern w:val="36"/>
        </w:rPr>
        <w:t>市</w:t>
      </w:r>
      <w:bookmarkEnd w:id="0"/>
      <w:bookmarkEnd w:id="1"/>
      <w:r>
        <w:rPr>
          <w:rFonts w:hint="eastAsia" w:ascii="Times New Roman" w:hAnsi="Times New Roman" w:eastAsia="方正小标宋简体" w:cs="Times New Roman"/>
          <w:b w:val="0"/>
          <w:spacing w:val="-6"/>
          <w:w w:val="95"/>
          <w:kern w:val="36"/>
        </w:rPr>
        <w:t>“平急两用”医疗应急服务点建设技术导则</w:t>
      </w:r>
    </w:p>
    <w:p w14:paraId="0C60C2E5">
      <w:pPr>
        <w:pStyle w:val="7"/>
        <w:kinsoku/>
        <w:wordWrap w:val="0"/>
        <w:topLinePunct/>
        <w:autoSpaceDE/>
        <w:autoSpaceDN/>
        <w:snapToGrid/>
        <w:spacing w:line="360" w:lineRule="auto"/>
        <w:contextualSpacing/>
        <w:rPr>
          <w:rFonts w:ascii="宋体" w:hAnsi="宋体" w:eastAsia="宋体"/>
          <w:b/>
          <w:color w:val="auto"/>
        </w:rPr>
      </w:pPr>
    </w:p>
    <w:p w14:paraId="77218E19">
      <w:pPr>
        <w:pStyle w:val="7"/>
        <w:kinsoku/>
        <w:wordWrap w:val="0"/>
        <w:topLinePunct/>
        <w:autoSpaceDE/>
        <w:autoSpaceDN/>
        <w:snapToGrid/>
        <w:spacing w:line="360" w:lineRule="auto"/>
        <w:contextualSpacing/>
        <w:rPr>
          <w:rFonts w:ascii="宋体" w:hAnsi="宋体" w:eastAsia="宋体"/>
          <w:b/>
          <w:color w:val="auto"/>
        </w:rPr>
      </w:pPr>
    </w:p>
    <w:p w14:paraId="5D555D26">
      <w:pPr>
        <w:pStyle w:val="7"/>
        <w:kinsoku/>
        <w:wordWrap w:val="0"/>
        <w:topLinePunct/>
        <w:autoSpaceDE/>
        <w:autoSpaceDN/>
        <w:snapToGrid/>
        <w:spacing w:line="360" w:lineRule="auto"/>
        <w:contextualSpacing/>
        <w:rPr>
          <w:rFonts w:ascii="宋体" w:hAnsi="宋体" w:eastAsia="宋体"/>
          <w:b/>
          <w:color w:val="auto"/>
        </w:rPr>
      </w:pPr>
    </w:p>
    <w:p w14:paraId="2EE3759D">
      <w:pPr>
        <w:pStyle w:val="7"/>
        <w:kinsoku/>
        <w:wordWrap w:val="0"/>
        <w:topLinePunct/>
        <w:autoSpaceDE/>
        <w:autoSpaceDN/>
        <w:snapToGrid/>
        <w:spacing w:line="360" w:lineRule="auto"/>
        <w:contextualSpacing/>
        <w:rPr>
          <w:rFonts w:ascii="宋体" w:hAnsi="宋体" w:eastAsia="宋体"/>
          <w:b/>
          <w:color w:val="auto"/>
        </w:rPr>
      </w:pPr>
    </w:p>
    <w:p w14:paraId="6723D6B5">
      <w:pPr>
        <w:pStyle w:val="7"/>
        <w:kinsoku/>
        <w:wordWrap w:val="0"/>
        <w:topLinePunct/>
        <w:autoSpaceDE/>
        <w:autoSpaceDN/>
        <w:snapToGrid/>
        <w:spacing w:line="360" w:lineRule="auto"/>
        <w:contextualSpacing/>
        <w:rPr>
          <w:rFonts w:ascii="宋体" w:hAnsi="宋体" w:eastAsia="宋体"/>
          <w:b/>
          <w:color w:val="auto"/>
        </w:rPr>
      </w:pPr>
    </w:p>
    <w:p w14:paraId="37E5CC58">
      <w:pPr>
        <w:pStyle w:val="7"/>
        <w:kinsoku/>
        <w:wordWrap w:val="0"/>
        <w:topLinePunct/>
        <w:autoSpaceDE/>
        <w:autoSpaceDN/>
        <w:snapToGrid/>
        <w:spacing w:line="360" w:lineRule="auto"/>
        <w:contextualSpacing/>
        <w:rPr>
          <w:rFonts w:ascii="宋体" w:hAnsi="宋体" w:eastAsia="宋体"/>
          <w:b/>
          <w:color w:val="auto"/>
        </w:rPr>
      </w:pPr>
    </w:p>
    <w:p w14:paraId="67D915E5">
      <w:pPr>
        <w:pStyle w:val="7"/>
        <w:kinsoku/>
        <w:wordWrap w:val="0"/>
        <w:topLinePunct/>
        <w:autoSpaceDE/>
        <w:autoSpaceDN/>
        <w:snapToGrid/>
        <w:spacing w:line="360" w:lineRule="auto"/>
        <w:contextualSpacing/>
        <w:rPr>
          <w:rFonts w:ascii="宋体" w:hAnsi="宋体" w:eastAsia="宋体"/>
          <w:b/>
          <w:color w:val="auto"/>
        </w:rPr>
      </w:pPr>
    </w:p>
    <w:p w14:paraId="77621F99">
      <w:pPr>
        <w:pStyle w:val="7"/>
        <w:kinsoku/>
        <w:wordWrap w:val="0"/>
        <w:topLinePunct/>
        <w:autoSpaceDE/>
        <w:autoSpaceDN/>
        <w:snapToGrid/>
        <w:spacing w:line="360" w:lineRule="auto"/>
        <w:contextualSpacing/>
        <w:rPr>
          <w:rFonts w:ascii="宋体" w:hAnsi="宋体" w:eastAsia="宋体"/>
          <w:b/>
          <w:color w:val="auto"/>
        </w:rPr>
      </w:pPr>
    </w:p>
    <w:p w14:paraId="64F0D351">
      <w:pPr>
        <w:pStyle w:val="7"/>
        <w:kinsoku/>
        <w:wordWrap w:val="0"/>
        <w:topLinePunct/>
        <w:autoSpaceDE/>
        <w:autoSpaceDN/>
        <w:snapToGrid/>
        <w:spacing w:line="360" w:lineRule="auto"/>
        <w:contextualSpacing/>
        <w:rPr>
          <w:rFonts w:ascii="宋体" w:hAnsi="宋体" w:eastAsia="宋体"/>
          <w:b/>
          <w:color w:val="auto"/>
        </w:rPr>
      </w:pPr>
    </w:p>
    <w:p w14:paraId="0243E241">
      <w:pPr>
        <w:pStyle w:val="7"/>
        <w:kinsoku/>
        <w:wordWrap w:val="0"/>
        <w:topLinePunct/>
        <w:autoSpaceDE/>
        <w:autoSpaceDN/>
        <w:snapToGrid/>
        <w:spacing w:line="360" w:lineRule="auto"/>
        <w:contextualSpacing/>
        <w:rPr>
          <w:rFonts w:ascii="宋体" w:hAnsi="宋体" w:eastAsia="宋体"/>
          <w:b/>
          <w:color w:val="auto"/>
        </w:rPr>
      </w:pPr>
      <w:bookmarkStart w:id="33" w:name="_GoBack"/>
      <w:bookmarkEnd w:id="33"/>
    </w:p>
    <w:p w14:paraId="33B6ECB7">
      <w:pPr>
        <w:pStyle w:val="7"/>
        <w:kinsoku/>
        <w:wordWrap w:val="0"/>
        <w:topLinePunct/>
        <w:autoSpaceDE/>
        <w:autoSpaceDN/>
        <w:snapToGrid/>
        <w:spacing w:line="360" w:lineRule="auto"/>
        <w:contextualSpacing/>
        <w:rPr>
          <w:rFonts w:ascii="宋体" w:hAnsi="宋体" w:eastAsia="宋体"/>
          <w:b/>
          <w:color w:val="auto"/>
        </w:rPr>
      </w:pPr>
    </w:p>
    <w:p w14:paraId="05E7A40B">
      <w:pPr>
        <w:pStyle w:val="7"/>
        <w:kinsoku/>
        <w:wordWrap w:val="0"/>
        <w:topLinePunct/>
        <w:autoSpaceDE/>
        <w:autoSpaceDN/>
        <w:snapToGrid/>
        <w:spacing w:line="360" w:lineRule="auto"/>
        <w:contextualSpacing/>
        <w:rPr>
          <w:rFonts w:ascii="宋体" w:hAnsi="宋体" w:eastAsia="宋体"/>
          <w:b/>
          <w:color w:val="auto"/>
        </w:rPr>
      </w:pPr>
    </w:p>
    <w:p w14:paraId="228CF6C4">
      <w:pPr>
        <w:pStyle w:val="7"/>
        <w:kinsoku/>
        <w:wordWrap w:val="0"/>
        <w:topLinePunct/>
        <w:autoSpaceDE/>
        <w:autoSpaceDN/>
        <w:snapToGrid/>
        <w:spacing w:line="360" w:lineRule="auto"/>
        <w:contextualSpacing/>
        <w:rPr>
          <w:rFonts w:ascii="宋体" w:hAnsi="宋体" w:eastAsia="宋体"/>
          <w:b/>
          <w:color w:val="auto"/>
        </w:rPr>
      </w:pPr>
    </w:p>
    <w:p w14:paraId="14E37C98">
      <w:pPr>
        <w:pStyle w:val="7"/>
        <w:kinsoku/>
        <w:wordWrap w:val="0"/>
        <w:topLinePunct/>
        <w:autoSpaceDE/>
        <w:autoSpaceDN/>
        <w:snapToGrid/>
        <w:spacing w:line="360" w:lineRule="auto"/>
        <w:contextualSpacing/>
        <w:rPr>
          <w:rFonts w:ascii="宋体" w:hAnsi="宋体" w:eastAsia="宋体"/>
          <w:b/>
          <w:color w:val="auto"/>
        </w:rPr>
      </w:pPr>
    </w:p>
    <w:p w14:paraId="762FA051">
      <w:pPr>
        <w:pStyle w:val="2"/>
        <w:keepNext w:val="0"/>
        <w:keepLines w:val="0"/>
        <w:widowControl/>
        <w:wordWrap w:val="0"/>
        <w:topLinePunct/>
        <w:spacing w:before="100" w:beforeAutospacing="1" w:after="100" w:afterAutospacing="1" w:line="360" w:lineRule="auto"/>
        <w:contextualSpacing/>
        <w:jc w:val="center"/>
        <w:rPr>
          <w:rFonts w:ascii="Times New Roman" w:hAnsi="Times New Roman" w:eastAsia="黑体" w:cs="Times New Roman"/>
          <w:b w:val="0"/>
          <w:spacing w:val="-12"/>
          <w:kern w:val="36"/>
          <w:sz w:val="36"/>
          <w:szCs w:val="36"/>
        </w:rPr>
      </w:pPr>
      <w:bookmarkStart w:id="2" w:name="_Toc213281187"/>
      <w:bookmarkStart w:id="3" w:name="_Toc213278495"/>
      <w:r>
        <w:rPr>
          <w:rFonts w:hint="eastAsia" w:ascii="Times New Roman" w:hAnsi="Times New Roman" w:eastAsia="黑体" w:cs="Times New Roman"/>
          <w:b w:val="0"/>
          <w:spacing w:val="-12"/>
          <w:kern w:val="36"/>
          <w:sz w:val="36"/>
          <w:szCs w:val="36"/>
        </w:rPr>
        <w:t>宝鸡</w:t>
      </w:r>
      <w:r>
        <w:rPr>
          <w:rFonts w:ascii="Times New Roman" w:hAnsi="Times New Roman" w:eastAsia="黑体" w:cs="Times New Roman"/>
          <w:b w:val="0"/>
          <w:spacing w:val="-12"/>
          <w:kern w:val="36"/>
          <w:sz w:val="36"/>
          <w:szCs w:val="36"/>
        </w:rPr>
        <w:t>市住房和城乡建设局</w:t>
      </w:r>
      <w:bookmarkEnd w:id="2"/>
      <w:bookmarkEnd w:id="3"/>
    </w:p>
    <w:p w14:paraId="1C26401C">
      <w:pPr>
        <w:pStyle w:val="2"/>
        <w:keepNext w:val="0"/>
        <w:keepLines w:val="0"/>
        <w:widowControl/>
        <w:wordWrap w:val="0"/>
        <w:topLinePunct/>
        <w:spacing w:before="100" w:beforeAutospacing="1" w:after="100" w:afterAutospacing="1" w:line="360" w:lineRule="auto"/>
        <w:contextualSpacing/>
        <w:jc w:val="center"/>
        <w:rPr>
          <w:rFonts w:ascii="Times New Roman" w:hAnsi="Times New Roman" w:eastAsia="黑体" w:cs="Times New Roman"/>
          <w:b w:val="0"/>
          <w:spacing w:val="-12"/>
          <w:kern w:val="36"/>
          <w:sz w:val="36"/>
          <w:szCs w:val="36"/>
        </w:rPr>
      </w:pPr>
      <w:bookmarkStart w:id="4" w:name="_Toc213281188"/>
      <w:bookmarkStart w:id="5" w:name="_Toc213278496"/>
      <w:r>
        <w:rPr>
          <w:rFonts w:ascii="Times New Roman" w:hAnsi="Times New Roman" w:eastAsia="黑体" w:cs="Times New Roman"/>
          <w:b w:val="0"/>
          <w:spacing w:val="-12"/>
          <w:kern w:val="36"/>
          <w:sz w:val="36"/>
          <w:szCs w:val="36"/>
        </w:rPr>
        <w:t>2025 年 12 月</w:t>
      </w:r>
      <w:bookmarkEnd w:id="4"/>
      <w:bookmarkEnd w:id="5"/>
    </w:p>
    <w:p w14:paraId="0AFF126D">
      <w:pPr>
        <w:rPr>
          <w:rFonts w:ascii="宋体" w:hAnsi="宋体" w:eastAsia="宋体"/>
        </w:rPr>
      </w:pPr>
    </w:p>
    <w:p w14:paraId="70AFE51E">
      <w:pPr>
        <w:widowControl/>
        <w:jc w:val="left"/>
        <w:rPr>
          <w:rFonts w:ascii="宋体" w:hAnsi="宋体" w:eastAsia="宋体"/>
        </w:rPr>
      </w:pPr>
      <w:r>
        <w:rPr>
          <w:rFonts w:ascii="宋体" w:hAnsi="宋体" w:eastAsia="宋体"/>
        </w:rPr>
        <w:br w:type="page"/>
      </w:r>
    </w:p>
    <w:sdt>
      <w:sdtPr>
        <w:rPr>
          <w:rFonts w:asciiTheme="minorHAnsi" w:hAnsiTheme="minorHAnsi" w:eastAsiaTheme="minorEastAsia" w:cstheme="minorBidi"/>
          <w:color w:val="auto"/>
          <w:kern w:val="2"/>
          <w:sz w:val="21"/>
          <w:szCs w:val="22"/>
          <w:lang w:val="zh-CN"/>
        </w:rPr>
        <w:id w:val="152116116"/>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14:paraId="3A9F967E">
          <w:pPr>
            <w:pStyle w:val="27"/>
            <w:jc w:val="center"/>
            <w:rPr>
              <w:rFonts w:ascii="Times New Roman" w:hAnsi="Times New Roman" w:eastAsia="黑体" w:cs="Times New Roman"/>
              <w:bCs/>
              <w:snapToGrid w:val="0"/>
              <w:color w:val="auto"/>
              <w:sz w:val="40"/>
              <w:szCs w:val="40"/>
              <w:lang w:eastAsia="en-US"/>
            </w:rPr>
          </w:pPr>
          <w:r>
            <w:rPr>
              <w:rFonts w:ascii="Times New Roman" w:hAnsi="Times New Roman" w:eastAsia="黑体" w:cs="Times New Roman"/>
              <w:bCs/>
              <w:snapToGrid w:val="0"/>
              <w:color w:val="auto"/>
              <w:sz w:val="40"/>
              <w:szCs w:val="40"/>
              <w:lang w:eastAsia="en-US"/>
            </w:rPr>
            <w:t>目录</w:t>
          </w:r>
        </w:p>
        <w:p w14:paraId="6B0F6858">
          <w:pPr>
            <w:pStyle w:val="11"/>
            <w:tabs>
              <w:tab w:val="right" w:leader="dot" w:pos="8296"/>
            </w:tabs>
            <w:rPr>
              <w:rFonts w:ascii="Times New Roman" w:hAnsi="Times New Roman" w:eastAsia="方正仿宋_GB2312" w:cs="Times New Roman"/>
              <w:sz w:val="28"/>
              <w:szCs w:val="28"/>
            </w:rPr>
          </w:pPr>
          <w:r>
            <w:rPr>
              <w:rFonts w:ascii="方正仿宋_GB2312" w:hAnsi="方正仿宋_GB2312" w:eastAsia="方正仿宋_GB2312"/>
              <w:sz w:val="28"/>
              <w:szCs w:val="28"/>
            </w:rPr>
            <w:fldChar w:fldCharType="begin"/>
          </w:r>
          <w:r>
            <w:rPr>
              <w:rFonts w:ascii="方正仿宋_GB2312" w:hAnsi="方正仿宋_GB2312" w:eastAsia="方正仿宋_GB2312"/>
              <w:sz w:val="28"/>
              <w:szCs w:val="28"/>
            </w:rPr>
            <w:instrText xml:space="preserve"> TOC \o "1-3" \h \z \u </w:instrText>
          </w:r>
          <w:r>
            <w:rPr>
              <w:rFonts w:ascii="方正仿宋_GB2312" w:hAnsi="方正仿宋_GB2312" w:eastAsia="方正仿宋_GB2312"/>
              <w:sz w:val="28"/>
              <w:szCs w:val="28"/>
            </w:rPr>
            <w:fldChar w:fldCharType="separate"/>
          </w:r>
          <w:r>
            <w:fldChar w:fldCharType="begin"/>
          </w:r>
          <w:r>
            <w:instrText xml:space="preserve"> HYPERLINK \l "_Toc205393787" </w:instrText>
          </w:r>
          <w:r>
            <w:fldChar w:fldCharType="separate"/>
          </w:r>
          <w:r>
            <w:rPr>
              <w:rStyle w:val="18"/>
              <w:rFonts w:ascii="Times New Roman" w:hAnsi="Times New Roman" w:eastAsia="方正仿宋_GB2312" w:cs="Times New Roman"/>
              <w:sz w:val="28"/>
              <w:szCs w:val="28"/>
            </w:rPr>
            <w:t>1 总则</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_Toc205393787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1</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0CA53E1A">
          <w:pPr>
            <w:pStyle w:val="11"/>
            <w:tabs>
              <w:tab w:val="right" w:leader="dot" w:pos="8296"/>
            </w:tabs>
            <w:rPr>
              <w:rFonts w:ascii="Times New Roman" w:hAnsi="Times New Roman" w:eastAsia="方正仿宋_GB2312" w:cs="Times New Roman"/>
              <w:sz w:val="28"/>
              <w:szCs w:val="28"/>
            </w:rPr>
          </w:pPr>
          <w:r>
            <w:fldChar w:fldCharType="begin"/>
          </w:r>
          <w:r>
            <w:instrText xml:space="preserve"> HYPERLINK \l "_Toc205393788" </w:instrText>
          </w:r>
          <w:r>
            <w:fldChar w:fldCharType="separate"/>
          </w:r>
          <w:r>
            <w:rPr>
              <w:rStyle w:val="18"/>
              <w:rFonts w:ascii="Times New Roman" w:hAnsi="Times New Roman" w:eastAsia="方正仿宋_GB2312" w:cs="Times New Roman"/>
              <w:sz w:val="28"/>
              <w:szCs w:val="28"/>
            </w:rPr>
            <w:t>2 术语</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_Toc205393788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2</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4454F51D">
          <w:pPr>
            <w:pStyle w:val="11"/>
            <w:tabs>
              <w:tab w:val="right" w:leader="dot" w:pos="8296"/>
            </w:tabs>
            <w:rPr>
              <w:rFonts w:ascii="Times New Roman" w:hAnsi="Times New Roman" w:eastAsia="方正仿宋_GB2312" w:cs="Times New Roman"/>
              <w:sz w:val="28"/>
              <w:szCs w:val="28"/>
            </w:rPr>
          </w:pPr>
          <w:r>
            <w:fldChar w:fldCharType="begin"/>
          </w:r>
          <w:r>
            <w:instrText xml:space="preserve"> HYPERLINK \l "_Toc205393789" </w:instrText>
          </w:r>
          <w:r>
            <w:fldChar w:fldCharType="separate"/>
          </w:r>
          <w:r>
            <w:rPr>
              <w:rStyle w:val="18"/>
              <w:rFonts w:ascii="Times New Roman" w:hAnsi="Times New Roman" w:eastAsia="方正仿宋_GB2312" w:cs="Times New Roman"/>
              <w:sz w:val="28"/>
              <w:szCs w:val="28"/>
            </w:rPr>
            <w:t>3 基本要求</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_Toc205393789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4</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5BAB4B51">
          <w:pPr>
            <w:pStyle w:val="11"/>
            <w:tabs>
              <w:tab w:val="right" w:leader="dot" w:pos="8296"/>
            </w:tabs>
            <w:rPr>
              <w:rFonts w:ascii="Times New Roman" w:hAnsi="Times New Roman" w:eastAsia="方正仿宋_GB2312" w:cs="Times New Roman"/>
              <w:sz w:val="28"/>
              <w:szCs w:val="28"/>
            </w:rPr>
          </w:pPr>
          <w:r>
            <w:fldChar w:fldCharType="begin"/>
          </w:r>
          <w:r>
            <w:instrText xml:space="preserve"> HYPERLINK \l "_Toc205393790" </w:instrText>
          </w:r>
          <w:r>
            <w:fldChar w:fldCharType="separate"/>
          </w:r>
          <w:r>
            <w:rPr>
              <w:rStyle w:val="18"/>
              <w:rFonts w:ascii="Times New Roman" w:hAnsi="Times New Roman" w:eastAsia="方正仿宋_GB2312" w:cs="Times New Roman"/>
              <w:sz w:val="28"/>
              <w:szCs w:val="28"/>
            </w:rPr>
            <w:t>4 选址要求</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_Toc205393790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5</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3D0F691E">
          <w:pPr>
            <w:pStyle w:val="11"/>
            <w:tabs>
              <w:tab w:val="right" w:leader="dot" w:pos="8296"/>
            </w:tabs>
            <w:rPr>
              <w:rFonts w:ascii="Times New Roman" w:hAnsi="Times New Roman" w:eastAsia="方正仿宋_GB2312" w:cs="Times New Roman"/>
              <w:sz w:val="28"/>
              <w:szCs w:val="28"/>
            </w:rPr>
          </w:pPr>
          <w:r>
            <w:fldChar w:fldCharType="begin"/>
          </w:r>
          <w:r>
            <w:instrText xml:space="preserve"> HYPERLINK \l "_Toc205393791" </w:instrText>
          </w:r>
          <w:r>
            <w:fldChar w:fldCharType="separate"/>
          </w:r>
          <w:r>
            <w:rPr>
              <w:rStyle w:val="18"/>
              <w:rFonts w:ascii="Times New Roman" w:hAnsi="Times New Roman" w:eastAsia="方正仿宋_GB2312" w:cs="Times New Roman"/>
              <w:sz w:val="28"/>
              <w:szCs w:val="28"/>
            </w:rPr>
            <w:t>5 总平面</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_Toc205393791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6</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5533209B">
          <w:pPr>
            <w:pStyle w:val="11"/>
            <w:tabs>
              <w:tab w:val="right" w:leader="dot" w:pos="8296"/>
            </w:tabs>
            <w:rPr>
              <w:rFonts w:ascii="Times New Roman" w:hAnsi="Times New Roman" w:eastAsia="方正仿宋_GB2312" w:cs="Times New Roman"/>
              <w:sz w:val="28"/>
              <w:szCs w:val="28"/>
            </w:rPr>
          </w:pPr>
          <w:r>
            <w:fldChar w:fldCharType="begin"/>
          </w:r>
          <w:r>
            <w:instrText xml:space="preserve"> HYPERLINK \l "_Toc205393792" </w:instrText>
          </w:r>
          <w:r>
            <w:fldChar w:fldCharType="separate"/>
          </w:r>
          <w:r>
            <w:rPr>
              <w:rStyle w:val="18"/>
              <w:rFonts w:ascii="Times New Roman" w:hAnsi="Times New Roman" w:eastAsia="方正仿宋_GB2312" w:cs="Times New Roman"/>
              <w:kern w:val="0"/>
              <w:sz w:val="28"/>
              <w:szCs w:val="28"/>
            </w:rPr>
            <w:t>6 建筑</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_Toc205393792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7</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0E76C5EE">
          <w:pPr>
            <w:pStyle w:val="12"/>
            <w:tabs>
              <w:tab w:val="right" w:leader="dot" w:pos="8296"/>
            </w:tabs>
            <w:rPr>
              <w:rFonts w:ascii="Times New Roman" w:hAnsi="Times New Roman" w:eastAsia="方正仿宋_GB2312" w:cs="Times New Roman"/>
              <w:sz w:val="28"/>
              <w:szCs w:val="28"/>
            </w:rPr>
          </w:pPr>
          <w:r>
            <w:fldChar w:fldCharType="begin"/>
          </w:r>
          <w:r>
            <w:instrText xml:space="preserve"> HYPERLINK \l "_Toc205393793" </w:instrText>
          </w:r>
          <w:r>
            <w:fldChar w:fldCharType="separate"/>
          </w:r>
          <w:r>
            <w:rPr>
              <w:rStyle w:val="18"/>
              <w:rFonts w:ascii="Times New Roman" w:hAnsi="Times New Roman" w:eastAsia="方正仿宋_GB2312" w:cs="Times New Roman"/>
              <w:kern w:val="0"/>
              <w:sz w:val="28"/>
              <w:szCs w:val="28"/>
            </w:rPr>
            <w:t>6.1 污染区</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_Toc205393793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7</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64EE1D38">
          <w:pPr>
            <w:pStyle w:val="12"/>
            <w:tabs>
              <w:tab w:val="right" w:leader="dot" w:pos="8296"/>
            </w:tabs>
            <w:rPr>
              <w:rFonts w:ascii="Times New Roman" w:hAnsi="Times New Roman" w:eastAsia="方正仿宋_GB2312" w:cs="Times New Roman"/>
              <w:sz w:val="28"/>
              <w:szCs w:val="28"/>
            </w:rPr>
          </w:pPr>
          <w:r>
            <w:fldChar w:fldCharType="begin"/>
          </w:r>
          <w:r>
            <w:instrText xml:space="preserve"> HYPERLINK \l "_Toc205393794" </w:instrText>
          </w:r>
          <w:r>
            <w:fldChar w:fldCharType="separate"/>
          </w:r>
          <w:r>
            <w:rPr>
              <w:rStyle w:val="18"/>
              <w:rFonts w:ascii="Times New Roman" w:hAnsi="Times New Roman" w:eastAsia="方正仿宋_GB2312" w:cs="Times New Roman"/>
              <w:kern w:val="0"/>
              <w:sz w:val="28"/>
              <w:szCs w:val="28"/>
            </w:rPr>
            <w:t>6.2 清洁区</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_Toc205393794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7</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5F4EEBA0">
          <w:pPr>
            <w:pStyle w:val="12"/>
            <w:tabs>
              <w:tab w:val="right" w:leader="dot" w:pos="8296"/>
            </w:tabs>
            <w:rPr>
              <w:rFonts w:ascii="Times New Roman" w:hAnsi="Times New Roman" w:eastAsia="方正仿宋_GB2312" w:cs="Times New Roman"/>
              <w:sz w:val="28"/>
              <w:szCs w:val="28"/>
            </w:rPr>
          </w:pPr>
          <w:r>
            <w:fldChar w:fldCharType="begin"/>
          </w:r>
          <w:r>
            <w:instrText xml:space="preserve"> HYPERLINK \l "_Toc205393795" </w:instrText>
          </w:r>
          <w:r>
            <w:fldChar w:fldCharType="separate"/>
          </w:r>
          <w:r>
            <w:rPr>
              <w:rStyle w:val="18"/>
              <w:rFonts w:ascii="Times New Roman" w:hAnsi="Times New Roman" w:eastAsia="方正仿宋_GB2312" w:cs="Times New Roman"/>
              <w:kern w:val="0"/>
              <w:sz w:val="28"/>
              <w:szCs w:val="28"/>
            </w:rPr>
            <w:t>6.3 潜在污染区</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_Toc205393795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7</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7616EF2F">
          <w:pPr>
            <w:pStyle w:val="12"/>
            <w:tabs>
              <w:tab w:val="right" w:leader="dot" w:pos="8296"/>
            </w:tabs>
            <w:rPr>
              <w:rFonts w:ascii="Times New Roman" w:hAnsi="Times New Roman" w:eastAsia="方正仿宋_GB2312" w:cs="Times New Roman"/>
              <w:sz w:val="28"/>
              <w:szCs w:val="28"/>
            </w:rPr>
          </w:pPr>
          <w:r>
            <w:fldChar w:fldCharType="begin"/>
          </w:r>
          <w:r>
            <w:instrText xml:space="preserve"> HYPERLINK \l "_Toc205393796" </w:instrText>
          </w:r>
          <w:r>
            <w:fldChar w:fldCharType="separate"/>
          </w:r>
          <w:r>
            <w:rPr>
              <w:rStyle w:val="18"/>
              <w:rFonts w:ascii="Times New Roman" w:hAnsi="Times New Roman" w:eastAsia="方正仿宋_GB2312" w:cs="Times New Roman"/>
              <w:kern w:val="0"/>
              <w:sz w:val="28"/>
              <w:szCs w:val="28"/>
            </w:rPr>
            <w:t>6.4 卫生通过</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_Toc205393796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8</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7CFB6985">
          <w:pPr>
            <w:pStyle w:val="12"/>
            <w:tabs>
              <w:tab w:val="right" w:leader="dot" w:pos="8296"/>
            </w:tabs>
            <w:rPr>
              <w:rFonts w:ascii="Times New Roman" w:hAnsi="Times New Roman" w:eastAsia="方正仿宋_GB2312" w:cs="Times New Roman"/>
              <w:sz w:val="28"/>
              <w:szCs w:val="28"/>
            </w:rPr>
          </w:pPr>
          <w:r>
            <w:fldChar w:fldCharType="begin"/>
          </w:r>
          <w:r>
            <w:instrText xml:space="preserve"> HYPERLINK \l "_Toc205393797" </w:instrText>
          </w:r>
          <w:r>
            <w:fldChar w:fldCharType="separate"/>
          </w:r>
          <w:r>
            <w:rPr>
              <w:rStyle w:val="18"/>
              <w:rFonts w:ascii="Times New Roman" w:hAnsi="Times New Roman" w:eastAsia="方正仿宋_GB2312" w:cs="Times New Roman"/>
              <w:kern w:val="0"/>
              <w:sz w:val="28"/>
              <w:szCs w:val="28"/>
            </w:rPr>
            <w:t>6.5 其他</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_Toc205393797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8</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4204991C">
          <w:pPr>
            <w:pStyle w:val="11"/>
            <w:tabs>
              <w:tab w:val="right" w:leader="dot" w:pos="8296"/>
            </w:tabs>
            <w:rPr>
              <w:rFonts w:ascii="Times New Roman" w:hAnsi="Times New Roman" w:eastAsia="方正仿宋_GB2312" w:cs="Times New Roman"/>
              <w:sz w:val="28"/>
              <w:szCs w:val="28"/>
            </w:rPr>
          </w:pPr>
          <w:r>
            <w:fldChar w:fldCharType="begin"/>
          </w:r>
          <w:r>
            <w:instrText xml:space="preserve"> HYPERLINK \l "_Toc205393798" </w:instrText>
          </w:r>
          <w:r>
            <w:fldChar w:fldCharType="separate"/>
          </w:r>
          <w:r>
            <w:rPr>
              <w:rStyle w:val="18"/>
              <w:rFonts w:ascii="Times New Roman" w:hAnsi="Times New Roman" w:eastAsia="方正仿宋_GB2312" w:cs="Times New Roman"/>
              <w:sz w:val="28"/>
              <w:szCs w:val="28"/>
            </w:rPr>
            <w:t>7 结构</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_Toc205393798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10</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5BDCE7FA">
          <w:pPr>
            <w:pStyle w:val="11"/>
            <w:tabs>
              <w:tab w:val="right" w:leader="dot" w:pos="8296"/>
            </w:tabs>
            <w:rPr>
              <w:rFonts w:ascii="Times New Roman" w:hAnsi="Times New Roman" w:eastAsia="方正仿宋_GB2312" w:cs="Times New Roman"/>
              <w:sz w:val="28"/>
              <w:szCs w:val="28"/>
            </w:rPr>
          </w:pPr>
          <w:r>
            <w:fldChar w:fldCharType="begin"/>
          </w:r>
          <w:r>
            <w:instrText xml:space="preserve"> HYPERLINK \l "_Toc205393799" </w:instrText>
          </w:r>
          <w:r>
            <w:fldChar w:fldCharType="separate"/>
          </w:r>
          <w:r>
            <w:rPr>
              <w:rStyle w:val="18"/>
              <w:rFonts w:ascii="Times New Roman" w:hAnsi="Times New Roman" w:eastAsia="方正仿宋_GB2312" w:cs="Times New Roman"/>
              <w:sz w:val="28"/>
              <w:szCs w:val="28"/>
            </w:rPr>
            <w:t>8给排水</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_Toc205393799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12</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58EE8C64">
          <w:pPr>
            <w:pStyle w:val="11"/>
            <w:tabs>
              <w:tab w:val="right" w:leader="dot" w:pos="8296"/>
            </w:tabs>
            <w:rPr>
              <w:rFonts w:ascii="Times New Roman" w:hAnsi="Times New Roman" w:eastAsia="方正仿宋_GB2312" w:cs="Times New Roman"/>
              <w:sz w:val="28"/>
              <w:szCs w:val="28"/>
            </w:rPr>
          </w:pPr>
          <w:r>
            <w:fldChar w:fldCharType="begin"/>
          </w:r>
          <w:r>
            <w:instrText xml:space="preserve"> HYPERLINK \l "_Toc205393800" </w:instrText>
          </w:r>
          <w:r>
            <w:fldChar w:fldCharType="separate"/>
          </w:r>
          <w:r>
            <w:rPr>
              <w:rStyle w:val="18"/>
              <w:rFonts w:ascii="Times New Roman" w:hAnsi="Times New Roman" w:eastAsia="方正仿宋_GB2312" w:cs="Times New Roman"/>
              <w:kern w:val="0"/>
              <w:sz w:val="28"/>
              <w:szCs w:val="28"/>
            </w:rPr>
            <w:t>9供暖、通风与空调</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_Toc205393800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16</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0A9CDD91">
          <w:pPr>
            <w:pStyle w:val="11"/>
            <w:tabs>
              <w:tab w:val="right" w:leader="dot" w:pos="8296"/>
            </w:tabs>
            <w:rPr>
              <w:rFonts w:ascii="Times New Roman" w:hAnsi="Times New Roman" w:eastAsia="方正仿宋_GB2312" w:cs="Times New Roman"/>
              <w:sz w:val="28"/>
              <w:szCs w:val="28"/>
            </w:rPr>
          </w:pPr>
          <w:r>
            <w:fldChar w:fldCharType="begin"/>
          </w:r>
          <w:r>
            <w:instrText xml:space="preserve"> HYPERLINK \l "_Toc205393801" </w:instrText>
          </w:r>
          <w:r>
            <w:fldChar w:fldCharType="separate"/>
          </w:r>
          <w:r>
            <w:rPr>
              <w:rStyle w:val="18"/>
              <w:rFonts w:ascii="Times New Roman" w:hAnsi="Times New Roman" w:eastAsia="方正仿宋_GB2312" w:cs="Times New Roman"/>
              <w:sz w:val="28"/>
              <w:szCs w:val="28"/>
            </w:rPr>
            <w:t>10 电气</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_Toc205393801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19</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2B6F3741">
          <w:pPr>
            <w:pStyle w:val="11"/>
            <w:tabs>
              <w:tab w:val="right" w:leader="dot" w:pos="8296"/>
            </w:tabs>
            <w:rPr>
              <w:rFonts w:ascii="Times New Roman" w:hAnsi="Times New Roman" w:eastAsia="方正仿宋_GB2312" w:cs="Times New Roman"/>
              <w:sz w:val="28"/>
              <w:szCs w:val="28"/>
            </w:rPr>
          </w:pPr>
          <w:r>
            <w:fldChar w:fldCharType="begin"/>
          </w:r>
          <w:r>
            <w:instrText xml:space="preserve"> HYPERLINK \l "_Toc205393802" </w:instrText>
          </w:r>
          <w:r>
            <w:fldChar w:fldCharType="separate"/>
          </w:r>
          <w:r>
            <w:rPr>
              <w:rStyle w:val="18"/>
              <w:rFonts w:ascii="Times New Roman" w:hAnsi="Times New Roman" w:eastAsia="方正仿宋_GB2312" w:cs="Times New Roman"/>
              <w:sz w:val="28"/>
              <w:szCs w:val="28"/>
            </w:rPr>
            <w:t>11 智能化</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_Toc205393802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22</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205B4DFA">
          <w:pPr>
            <w:pStyle w:val="11"/>
            <w:tabs>
              <w:tab w:val="right" w:leader="dot" w:pos="8296"/>
            </w:tabs>
            <w:rPr>
              <w:rFonts w:ascii="Times New Roman" w:hAnsi="Times New Roman" w:eastAsia="方正仿宋_GB2312" w:cs="Times New Roman"/>
              <w:sz w:val="28"/>
              <w:szCs w:val="28"/>
            </w:rPr>
          </w:pPr>
          <w:r>
            <w:fldChar w:fldCharType="begin"/>
          </w:r>
          <w:r>
            <w:instrText xml:space="preserve"> HYPERLINK \l "_Toc205393803" </w:instrText>
          </w:r>
          <w:r>
            <w:fldChar w:fldCharType="separate"/>
          </w:r>
          <w:r>
            <w:rPr>
              <w:rStyle w:val="18"/>
              <w:rFonts w:ascii="Times New Roman" w:hAnsi="Times New Roman" w:eastAsia="方正仿宋_GB2312" w:cs="Times New Roman"/>
              <w:sz w:val="28"/>
              <w:szCs w:val="28"/>
            </w:rPr>
            <w:t>12 医用气体</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_Toc205393803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25</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22CE4966">
          <w:pPr>
            <w:pStyle w:val="11"/>
            <w:tabs>
              <w:tab w:val="right" w:leader="dot" w:pos="8296"/>
            </w:tabs>
            <w:rPr>
              <w:rFonts w:ascii="Times New Roman" w:hAnsi="Times New Roman" w:eastAsia="方正仿宋_GB2312" w:cs="Times New Roman"/>
              <w:sz w:val="28"/>
              <w:szCs w:val="28"/>
            </w:rPr>
          </w:pPr>
          <w:r>
            <w:fldChar w:fldCharType="begin"/>
          </w:r>
          <w:r>
            <w:instrText xml:space="preserve"> HYPERLINK \l "_Toc205393804" </w:instrText>
          </w:r>
          <w:r>
            <w:fldChar w:fldCharType="separate"/>
          </w:r>
          <w:r>
            <w:rPr>
              <w:rStyle w:val="18"/>
              <w:rFonts w:ascii="Times New Roman" w:hAnsi="Times New Roman" w:eastAsia="方正仿宋_GB2312" w:cs="Times New Roman"/>
              <w:sz w:val="28"/>
              <w:szCs w:val="28"/>
            </w:rPr>
            <w:t>13平急转换</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_Toc205393804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27</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31D73003">
          <w:pPr>
            <w:pStyle w:val="11"/>
            <w:tabs>
              <w:tab w:val="right" w:leader="dot" w:pos="8296"/>
            </w:tabs>
            <w:rPr>
              <w:rFonts w:ascii="方正仿宋_GB2312" w:hAnsi="方正仿宋_GB2312" w:eastAsia="方正仿宋_GB2312"/>
              <w:sz w:val="28"/>
              <w:szCs w:val="28"/>
            </w:rPr>
          </w:pPr>
          <w:r>
            <w:fldChar w:fldCharType="begin"/>
          </w:r>
          <w:r>
            <w:instrText xml:space="preserve"> HYPERLINK \l "_Toc205393805" </w:instrText>
          </w:r>
          <w:r>
            <w:fldChar w:fldCharType="separate"/>
          </w:r>
          <w:r>
            <w:rPr>
              <w:rStyle w:val="18"/>
              <w:rFonts w:ascii="Times New Roman" w:hAnsi="Times New Roman" w:eastAsia="方正仿宋_GB2312" w:cs="Times New Roman"/>
              <w:sz w:val="28"/>
              <w:szCs w:val="28"/>
            </w:rPr>
            <w:t>14运营维护</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_Toc205393805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31</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1B7650F4">
          <w:r>
            <w:rPr>
              <w:rFonts w:ascii="方正仿宋_GB2312" w:hAnsi="方正仿宋_GB2312" w:eastAsia="方正仿宋_GB2312"/>
              <w:b/>
              <w:bCs/>
              <w:sz w:val="28"/>
              <w:szCs w:val="28"/>
              <w:lang w:val="zh-CN"/>
            </w:rPr>
            <w:fldChar w:fldCharType="end"/>
          </w:r>
        </w:p>
      </w:sdtContent>
    </w:sdt>
    <w:p w14:paraId="66F1C5DA">
      <w:pPr>
        <w:pStyle w:val="13"/>
        <w:shd w:val="clear" w:color="auto" w:fill="FFFFFF"/>
        <w:spacing w:before="0" w:beforeAutospacing="0" w:after="390" w:afterAutospacing="0"/>
        <w:jc w:val="both"/>
        <w:rPr>
          <w:b/>
          <w:sz w:val="28"/>
          <w:szCs w:val="28"/>
        </w:rPr>
      </w:pPr>
    </w:p>
    <w:p w14:paraId="2ACE861E">
      <w:pPr>
        <w:pStyle w:val="13"/>
        <w:shd w:val="clear" w:color="auto" w:fill="FFFFFF"/>
        <w:spacing w:before="0" w:beforeAutospacing="0" w:after="390" w:afterAutospacing="0"/>
        <w:jc w:val="both"/>
        <w:rPr>
          <w:b/>
          <w:sz w:val="28"/>
          <w:szCs w:val="28"/>
        </w:rPr>
        <w:sectPr>
          <w:footerReference r:id="rId3" w:type="default"/>
          <w:pgSz w:w="11906" w:h="16838"/>
          <w:pgMar w:top="1440" w:right="1800" w:bottom="1440" w:left="1800" w:header="851" w:footer="992" w:gutter="0"/>
          <w:cols w:space="425" w:num="1"/>
          <w:docGrid w:type="lines" w:linePitch="312" w:charSpace="0"/>
        </w:sectPr>
      </w:pPr>
    </w:p>
    <w:p w14:paraId="593F29E0">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b w:val="0"/>
          <w:snapToGrid w:val="0"/>
          <w:kern w:val="0"/>
          <w:sz w:val="40"/>
          <w:szCs w:val="40"/>
          <w:lang w:eastAsia="en-US"/>
        </w:rPr>
      </w:pPr>
      <w:bookmarkStart w:id="6" w:name="_Toc205393787"/>
      <w:r>
        <w:rPr>
          <w:rFonts w:ascii="Times New Roman" w:hAnsi="Times New Roman" w:eastAsia="黑体"/>
          <w:b w:val="0"/>
          <w:snapToGrid w:val="0"/>
          <w:kern w:val="0"/>
          <w:sz w:val="40"/>
          <w:szCs w:val="40"/>
          <w:lang w:eastAsia="en-US"/>
        </w:rPr>
        <w:t xml:space="preserve">1  </w:t>
      </w:r>
      <w:r>
        <w:rPr>
          <w:rFonts w:hint="eastAsia" w:ascii="Times New Roman" w:hAnsi="Times New Roman" w:eastAsia="黑体"/>
          <w:b w:val="0"/>
          <w:snapToGrid w:val="0"/>
          <w:kern w:val="0"/>
          <w:sz w:val="40"/>
          <w:szCs w:val="40"/>
          <w:lang w:eastAsia="en-US"/>
        </w:rPr>
        <w:t>总</w:t>
      </w:r>
      <w:r>
        <w:rPr>
          <w:rFonts w:hint="eastAsia" w:ascii="Times New Roman" w:hAnsi="Times New Roman" w:eastAsia="黑体"/>
          <w:b w:val="0"/>
          <w:snapToGrid w:val="0"/>
          <w:kern w:val="0"/>
          <w:sz w:val="40"/>
          <w:szCs w:val="40"/>
        </w:rPr>
        <w:t>则</w:t>
      </w:r>
    </w:p>
    <w:bookmarkEnd w:id="6"/>
    <w:p w14:paraId="6B6AC07E">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b w:val="0"/>
          <w:snapToGrid w:val="0"/>
          <w:kern w:val="0"/>
          <w:sz w:val="40"/>
          <w:szCs w:val="40"/>
          <w:lang w:eastAsia="en-US"/>
        </w:rPr>
      </w:pPr>
    </w:p>
    <w:p w14:paraId="04BEE51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color w:val="auto"/>
        </w:rPr>
      </w:pPr>
      <w:r>
        <w:rPr>
          <w:rFonts w:hint="eastAsia" w:ascii="Times New Roman" w:hAnsi="Times New Roman" w:eastAsia="方正仿宋_GB2312" w:cs="Times New Roman"/>
          <w:b w:val="0"/>
          <w:color w:val="auto"/>
        </w:rPr>
        <w:t>1.0.1 为降低新发重大疫情和突发事件对宝鸡市的潜在影响，提升宝鸡市高质量发展的安全韧性，指导宝鸡市“平急两用”医疗应急服务点的全生命周期建设，制定本导则。</w:t>
      </w:r>
    </w:p>
    <w:p w14:paraId="75A078A7">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color w:val="auto"/>
        </w:rPr>
      </w:pPr>
      <w:r>
        <w:rPr>
          <w:rFonts w:hint="eastAsia" w:ascii="Times New Roman" w:hAnsi="Times New Roman" w:eastAsia="方正仿宋_GB2312" w:cs="Times New Roman"/>
          <w:b w:val="0"/>
          <w:color w:val="auto"/>
        </w:rPr>
        <w:t>1.0.2 本导则主要适用于宝鸡市新建“平急两用”医疗应急服务点。既有建筑经评估可改造为“平急两用”医疗应急服务点的，参照本导则执行。</w:t>
      </w:r>
    </w:p>
    <w:p w14:paraId="202E797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color w:val="auto"/>
        </w:rPr>
      </w:pPr>
      <w:r>
        <w:rPr>
          <w:rFonts w:hint="eastAsia" w:ascii="Times New Roman" w:hAnsi="Times New Roman" w:eastAsia="方正仿宋_GB2312" w:cs="Times New Roman"/>
          <w:b w:val="0"/>
          <w:color w:val="auto"/>
        </w:rPr>
        <w:t>1.0.3 “平急两用”医疗应急服务点“平时”应满足周边居民日常诊疗服务需求，“急时”可转换为应对重大疫情和突发公共事件的医疗应急服务点。</w:t>
      </w:r>
    </w:p>
    <w:p w14:paraId="7FC1B11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color w:val="auto"/>
        </w:rPr>
      </w:pPr>
      <w:r>
        <w:rPr>
          <w:rFonts w:ascii="Times New Roman" w:hAnsi="Times New Roman" w:eastAsia="方正仿宋_GB2312" w:cs="Times New Roman"/>
          <w:b w:val="0"/>
          <w:color w:val="auto"/>
        </w:rPr>
        <w:t>1.0.4</w:t>
      </w:r>
      <w:r>
        <w:rPr>
          <w:rFonts w:hint="eastAsia" w:ascii="Times New Roman" w:hAnsi="Times New Roman" w:eastAsia="方正仿宋_GB2312" w:cs="Times New Roman"/>
          <w:b w:val="0"/>
          <w:color w:val="auto"/>
        </w:rPr>
        <w:t xml:space="preserve"> 新建建筑应按现行国家规范标准执行，既有建筑改建、扩建时，宜按现行国家标准执行，确有困难时不得低于原建成时的技术标准。</w:t>
      </w:r>
    </w:p>
    <w:p w14:paraId="627CDBF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color w:val="auto"/>
        </w:rPr>
      </w:pPr>
      <w:r>
        <w:rPr>
          <w:rFonts w:hint="eastAsia" w:ascii="Times New Roman" w:hAnsi="Times New Roman" w:eastAsia="方正仿宋_GB2312" w:cs="Times New Roman"/>
          <w:b w:val="0"/>
          <w:color w:val="auto"/>
        </w:rPr>
        <w:t>1.0.5 “平急两用”医疗应急服务点的定点医院建设除应符合本导则外，尚应符合国家、省、市现行相关的法律法规和规范、标准。</w:t>
      </w:r>
    </w:p>
    <w:p w14:paraId="7A4E4A85">
      <w:pPr>
        <w:rPr>
          <w:rFonts w:ascii="宋体" w:hAnsi="宋体" w:eastAsia="宋体"/>
          <w:color w:val="000000"/>
          <w:sz w:val="28"/>
          <w:szCs w:val="28"/>
        </w:rPr>
      </w:pPr>
      <w:r>
        <w:rPr>
          <w:rFonts w:ascii="宋体" w:hAnsi="宋体" w:eastAsia="宋体"/>
          <w:color w:val="000000"/>
          <w:sz w:val="28"/>
          <w:szCs w:val="28"/>
        </w:rPr>
        <w:br w:type="page"/>
      </w:r>
    </w:p>
    <w:p w14:paraId="21BEDBAB">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b w:val="0"/>
          <w:snapToGrid w:val="0"/>
          <w:kern w:val="0"/>
          <w:sz w:val="40"/>
          <w:szCs w:val="40"/>
          <w:lang w:eastAsia="en-US"/>
        </w:rPr>
      </w:pPr>
      <w:bookmarkStart w:id="7" w:name="_Toc205393788"/>
      <w:r>
        <w:rPr>
          <w:rFonts w:ascii="Times New Roman" w:hAnsi="Times New Roman" w:eastAsia="黑体"/>
          <w:b w:val="0"/>
          <w:snapToGrid w:val="0"/>
          <w:kern w:val="0"/>
          <w:sz w:val="40"/>
          <w:szCs w:val="40"/>
          <w:lang w:eastAsia="en-US"/>
        </w:rPr>
        <w:t xml:space="preserve">2  </w:t>
      </w:r>
      <w:r>
        <w:rPr>
          <w:rFonts w:hint="eastAsia" w:ascii="Times New Roman" w:hAnsi="Times New Roman" w:eastAsia="黑体"/>
          <w:b w:val="0"/>
          <w:snapToGrid w:val="0"/>
          <w:kern w:val="0"/>
          <w:sz w:val="40"/>
          <w:szCs w:val="40"/>
          <w:lang w:eastAsia="en-US"/>
        </w:rPr>
        <w:t>术</w:t>
      </w:r>
      <w:r>
        <w:rPr>
          <w:rFonts w:hint="eastAsia" w:ascii="Times New Roman" w:hAnsi="Times New Roman" w:eastAsia="黑体"/>
          <w:b w:val="0"/>
          <w:snapToGrid w:val="0"/>
          <w:kern w:val="0"/>
          <w:sz w:val="40"/>
          <w:szCs w:val="40"/>
        </w:rPr>
        <w:t>语</w:t>
      </w:r>
    </w:p>
    <w:bookmarkEnd w:id="7"/>
    <w:p w14:paraId="6679A7BD">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b w:val="0"/>
          <w:snapToGrid w:val="0"/>
          <w:kern w:val="0"/>
          <w:sz w:val="40"/>
          <w:szCs w:val="40"/>
          <w:lang w:eastAsia="en-US"/>
        </w:rPr>
      </w:pPr>
    </w:p>
    <w:p w14:paraId="2AE43CF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color w:val="auto"/>
        </w:rPr>
      </w:pPr>
      <w:r>
        <w:rPr>
          <w:rFonts w:hint="eastAsia" w:ascii="Times New Roman" w:hAnsi="Times New Roman" w:eastAsia="方正仿宋_GB2312" w:cs="Times New Roman"/>
          <w:color w:val="auto"/>
        </w:rPr>
        <w:t>2.0.1</w:t>
      </w:r>
      <w:r>
        <w:rPr>
          <w:rFonts w:ascii="Times New Roman" w:hAnsi="Times New Roman" w:eastAsia="方正仿宋_GB2312" w:cs="Times New Roman"/>
          <w:color w:val="auto"/>
        </w:rPr>
        <w:t xml:space="preserve"> </w:t>
      </w:r>
      <w:r>
        <w:rPr>
          <w:rFonts w:hint="eastAsia" w:ascii="Times New Roman" w:hAnsi="Times New Roman" w:eastAsia="方正仿宋_GB2312" w:cs="Times New Roman"/>
          <w:color w:val="auto"/>
        </w:rPr>
        <w:t>“</w:t>
      </w:r>
      <w:r>
        <w:rPr>
          <w:rFonts w:ascii="Times New Roman" w:hAnsi="Times New Roman" w:eastAsia="方正仿宋_GB2312" w:cs="Times New Roman"/>
          <w:color w:val="auto"/>
        </w:rPr>
        <w:t>平急两用</w:t>
      </w:r>
      <w:r>
        <w:rPr>
          <w:rFonts w:hint="eastAsia" w:ascii="Times New Roman" w:hAnsi="Times New Roman" w:eastAsia="方正仿宋_GB2312" w:cs="Times New Roman"/>
          <w:color w:val="auto"/>
        </w:rPr>
        <w:t>”</w:t>
      </w:r>
      <w:r>
        <w:rPr>
          <w:rFonts w:ascii="Times New Roman" w:hAnsi="Times New Roman" w:eastAsia="方正仿宋_GB2312" w:cs="Times New Roman"/>
          <w:color w:val="auto"/>
        </w:rPr>
        <w:t>医疗应急服务点</w:t>
      </w:r>
      <w:r>
        <w:rPr>
          <w:rFonts w:hint="eastAsia" w:ascii="Times New Roman" w:hAnsi="Times New Roman" w:eastAsia="方正仿宋_GB2312" w:cs="Times New Roman"/>
          <w:color w:val="auto"/>
        </w:rPr>
        <w:t xml:space="preserve"> </w:t>
      </w:r>
    </w:p>
    <w:p w14:paraId="26870BB0">
      <w:pPr>
        <w:pStyle w:val="5"/>
        <w:keepNext w:val="0"/>
        <w:keepLines w:val="0"/>
        <w:kinsoku/>
        <w:topLinePunct/>
        <w:autoSpaceDE/>
        <w:autoSpaceDN/>
        <w:snapToGrid/>
        <w:spacing w:before="0" w:after="0" w:line="600" w:lineRule="exact"/>
        <w:ind w:firstLine="560" w:firstLineChars="200"/>
        <w:contextualSpacing/>
        <w:jc w:val="both"/>
        <w:rPr>
          <w:rFonts w:ascii="Times New Roman" w:hAnsi="Times New Roman" w:eastAsia="方正仿宋_GB2312" w:cs="Times New Roman"/>
          <w:b w:val="0"/>
          <w:color w:val="auto"/>
        </w:rPr>
      </w:pPr>
      <w:r>
        <w:rPr>
          <w:rFonts w:ascii="Times New Roman" w:hAnsi="Times New Roman" w:eastAsia="方正仿宋_GB2312" w:cs="Times New Roman"/>
          <w:b w:val="0"/>
          <w:color w:val="auto"/>
        </w:rPr>
        <w:t>满足周边居民日常诊疗服务需求，“急时”可转为满足应对突发疾病和救治意外伤害需求的医疗应急服务点</w:t>
      </w:r>
      <w:r>
        <w:rPr>
          <w:rFonts w:hint="eastAsia" w:ascii="Times New Roman" w:hAnsi="Times New Roman" w:eastAsia="方正仿宋_GB2312" w:cs="Times New Roman"/>
          <w:b w:val="0"/>
          <w:color w:val="auto"/>
        </w:rPr>
        <w:t>。</w:t>
      </w:r>
    </w:p>
    <w:p w14:paraId="6CFD7DA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color w:val="auto"/>
        </w:rPr>
      </w:pPr>
      <w:r>
        <w:rPr>
          <w:rFonts w:hint="eastAsia" w:ascii="Times New Roman" w:hAnsi="Times New Roman" w:eastAsia="方正仿宋_GB2312" w:cs="Times New Roman"/>
          <w:color w:val="auto"/>
        </w:rPr>
        <w:t>2.0.2</w:t>
      </w:r>
      <w:r>
        <w:rPr>
          <w:rFonts w:ascii="Times New Roman" w:hAnsi="Times New Roman" w:eastAsia="方正仿宋_GB2312" w:cs="Times New Roman"/>
          <w:color w:val="auto"/>
        </w:rPr>
        <w:t xml:space="preserve"> </w:t>
      </w:r>
      <w:r>
        <w:rPr>
          <w:rFonts w:hint="eastAsia" w:ascii="Times New Roman" w:hAnsi="Times New Roman" w:eastAsia="方正仿宋_GB2312" w:cs="Times New Roman"/>
          <w:color w:val="auto"/>
        </w:rPr>
        <w:t xml:space="preserve">三区两通道 </w:t>
      </w:r>
    </w:p>
    <w:p w14:paraId="02FD65A4">
      <w:pPr>
        <w:pStyle w:val="5"/>
        <w:keepNext w:val="0"/>
        <w:keepLines w:val="0"/>
        <w:kinsoku/>
        <w:topLinePunct/>
        <w:autoSpaceDE/>
        <w:autoSpaceDN/>
        <w:snapToGrid/>
        <w:spacing w:before="0" w:after="0" w:line="600" w:lineRule="exact"/>
        <w:ind w:firstLine="560" w:firstLineChars="200"/>
        <w:contextualSpacing/>
        <w:jc w:val="both"/>
        <w:rPr>
          <w:rFonts w:ascii="Times New Roman" w:hAnsi="Times New Roman" w:eastAsia="方正仿宋_GB2312" w:cs="Times New Roman"/>
          <w:b w:val="0"/>
          <w:color w:val="auto"/>
        </w:rPr>
      </w:pPr>
      <w:r>
        <w:rPr>
          <w:rFonts w:ascii="Times New Roman" w:hAnsi="Times New Roman" w:eastAsia="方正仿宋_GB2312" w:cs="Times New Roman"/>
          <w:b w:val="0"/>
          <w:color w:val="auto"/>
        </w:rPr>
        <w:t>指为满足医学隔离要求的功能布局。三区指污染区、潜在污染区与清洁区；两通道是指在污染区的污染通道（患者和污染物品）、在清洁区的清洁通道（医务人员和清洁物品）。</w:t>
      </w:r>
    </w:p>
    <w:p w14:paraId="098598B7">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color w:val="auto"/>
        </w:rPr>
      </w:pPr>
      <w:r>
        <w:rPr>
          <w:rFonts w:hint="eastAsia" w:ascii="Times New Roman" w:hAnsi="Times New Roman" w:eastAsia="方正仿宋_GB2312" w:cs="Times New Roman"/>
          <w:color w:val="auto"/>
        </w:rPr>
        <w:t>2.0.</w:t>
      </w:r>
      <w:r>
        <w:rPr>
          <w:rFonts w:ascii="Times New Roman" w:hAnsi="Times New Roman" w:eastAsia="方正仿宋_GB2312" w:cs="Times New Roman"/>
          <w:color w:val="auto"/>
        </w:rPr>
        <w:t xml:space="preserve">3 </w:t>
      </w:r>
      <w:r>
        <w:rPr>
          <w:rFonts w:hint="eastAsia" w:ascii="Times New Roman" w:hAnsi="Times New Roman" w:eastAsia="方正仿宋_GB2312" w:cs="Times New Roman"/>
          <w:color w:val="auto"/>
        </w:rPr>
        <w:t xml:space="preserve">污染区 </w:t>
      </w:r>
    </w:p>
    <w:p w14:paraId="052406EB">
      <w:pPr>
        <w:pStyle w:val="5"/>
        <w:keepNext w:val="0"/>
        <w:keepLines w:val="0"/>
        <w:kinsoku/>
        <w:topLinePunct/>
        <w:autoSpaceDE/>
        <w:autoSpaceDN/>
        <w:snapToGrid/>
        <w:spacing w:before="0" w:after="0" w:line="600" w:lineRule="exact"/>
        <w:ind w:firstLine="560" w:firstLineChars="200"/>
        <w:contextualSpacing/>
        <w:jc w:val="both"/>
        <w:rPr>
          <w:rFonts w:ascii="Times New Roman" w:hAnsi="Times New Roman" w:eastAsia="方正仿宋_GB2312" w:cs="Times New Roman"/>
          <w:b w:val="0"/>
          <w:color w:val="auto"/>
        </w:rPr>
      </w:pPr>
      <w:r>
        <w:rPr>
          <w:rFonts w:hint="eastAsia" w:ascii="Times New Roman" w:hAnsi="Times New Roman" w:eastAsia="方正仿宋_GB2312" w:cs="Times New Roman"/>
          <w:b w:val="0"/>
          <w:color w:val="auto"/>
        </w:rPr>
        <w:t>直接接触（病原体）患者开展诊疗活动的医疗环境，包括诊室、检查室、病房、手术室、患者入院、出院处理室、护工专用房间等患者可到达的区域，以及暂存和处理被患者血液、体液、分泌物、排泄物污染 物品的场所。</w:t>
      </w:r>
    </w:p>
    <w:p w14:paraId="72B729F0">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color w:val="auto"/>
        </w:rPr>
      </w:pPr>
      <w:r>
        <w:rPr>
          <w:rFonts w:hint="eastAsia" w:ascii="Times New Roman" w:hAnsi="Times New Roman" w:eastAsia="方正仿宋_GB2312" w:cs="Times New Roman"/>
          <w:color w:val="auto"/>
        </w:rPr>
        <w:t>2.0.</w:t>
      </w:r>
      <w:r>
        <w:rPr>
          <w:rFonts w:ascii="Times New Roman" w:hAnsi="Times New Roman" w:eastAsia="方正仿宋_GB2312" w:cs="Times New Roman"/>
          <w:color w:val="auto"/>
        </w:rPr>
        <w:t xml:space="preserve">4 </w:t>
      </w:r>
      <w:r>
        <w:rPr>
          <w:rFonts w:hint="eastAsia" w:ascii="Times New Roman" w:hAnsi="Times New Roman" w:eastAsia="方正仿宋_GB2312" w:cs="Times New Roman"/>
          <w:color w:val="auto"/>
        </w:rPr>
        <w:t xml:space="preserve">清洁区 </w:t>
      </w:r>
    </w:p>
    <w:p w14:paraId="01A87628">
      <w:pPr>
        <w:pStyle w:val="5"/>
        <w:keepNext w:val="0"/>
        <w:keepLines w:val="0"/>
        <w:kinsoku/>
        <w:topLinePunct/>
        <w:autoSpaceDE/>
        <w:autoSpaceDN/>
        <w:snapToGrid/>
        <w:spacing w:before="0" w:after="0" w:line="600" w:lineRule="exact"/>
        <w:ind w:firstLine="560" w:firstLineChars="200"/>
        <w:contextualSpacing/>
        <w:jc w:val="both"/>
        <w:rPr>
          <w:rFonts w:ascii="Times New Roman" w:hAnsi="Times New Roman" w:eastAsia="方正仿宋_GB2312" w:cs="Times New Roman"/>
          <w:b w:val="0"/>
          <w:color w:val="auto"/>
        </w:rPr>
      </w:pPr>
      <w:r>
        <w:rPr>
          <w:rFonts w:hint="eastAsia" w:ascii="Times New Roman" w:hAnsi="Times New Roman" w:eastAsia="方正仿宋_GB2312" w:cs="Times New Roman"/>
          <w:b w:val="0"/>
          <w:color w:val="auto"/>
        </w:rPr>
        <w:t xml:space="preserve">不易受到患者血液、体液和病原微生物等物质污染及患者不应进入的无感染风险的医护专用安全环境，包括医护人员的值班、办公、卫生间、更衣室、休息区、库房、储物间、配餐间及对应的内部通道等区域。 </w:t>
      </w:r>
    </w:p>
    <w:p w14:paraId="2067B3B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color w:val="auto"/>
        </w:rPr>
      </w:pPr>
      <w:r>
        <w:rPr>
          <w:rFonts w:hint="eastAsia" w:ascii="Times New Roman" w:hAnsi="Times New Roman" w:eastAsia="方正仿宋_GB2312" w:cs="Times New Roman"/>
          <w:color w:val="auto"/>
        </w:rPr>
        <w:t>2.0.</w:t>
      </w:r>
      <w:r>
        <w:rPr>
          <w:rFonts w:ascii="Times New Roman" w:hAnsi="Times New Roman" w:eastAsia="方正仿宋_GB2312" w:cs="Times New Roman"/>
          <w:color w:val="auto"/>
        </w:rPr>
        <w:t>5</w:t>
      </w:r>
      <w:r>
        <w:rPr>
          <w:rFonts w:hint="eastAsia" w:ascii="Times New Roman" w:hAnsi="Times New Roman" w:eastAsia="方正仿宋_GB2312" w:cs="Times New Roman"/>
          <w:color w:val="auto"/>
        </w:rPr>
        <w:t xml:space="preserve"> 潜在污染区 </w:t>
      </w:r>
    </w:p>
    <w:p w14:paraId="331ECDEF">
      <w:pPr>
        <w:pStyle w:val="5"/>
        <w:keepNext w:val="0"/>
        <w:keepLines w:val="0"/>
        <w:kinsoku/>
        <w:topLinePunct/>
        <w:autoSpaceDE/>
        <w:autoSpaceDN/>
        <w:snapToGrid/>
        <w:spacing w:before="0" w:after="0" w:line="600" w:lineRule="exact"/>
        <w:ind w:firstLine="560" w:firstLineChars="200"/>
        <w:contextualSpacing/>
        <w:jc w:val="both"/>
        <w:rPr>
          <w:rFonts w:ascii="Times New Roman" w:hAnsi="Times New Roman" w:eastAsia="方正仿宋_GB2312" w:cs="Times New Roman"/>
          <w:b w:val="0"/>
          <w:color w:val="auto"/>
        </w:rPr>
      </w:pPr>
      <w:r>
        <w:rPr>
          <w:rFonts w:hint="eastAsia" w:ascii="Times New Roman" w:hAnsi="Times New Roman" w:eastAsia="方正仿宋_GB2312" w:cs="Times New Roman"/>
          <w:b w:val="0"/>
          <w:color w:val="auto"/>
        </w:rPr>
        <w:t>位于清洁区和污染区之间，可能被患者血液、体液和病原微生物等物质污染，有一定感染风险的工作环境，包括收费、检验、药房、治疗准备间及患者用后物品、器械的处置室等区域。</w:t>
      </w:r>
    </w:p>
    <w:p w14:paraId="0393DA0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color w:val="auto"/>
        </w:rPr>
      </w:pPr>
      <w:r>
        <w:rPr>
          <w:rFonts w:hint="eastAsia" w:ascii="Times New Roman" w:hAnsi="Times New Roman" w:eastAsia="方正仿宋_GB2312" w:cs="Times New Roman"/>
          <w:color w:val="auto"/>
        </w:rPr>
        <w:t>2.0.</w:t>
      </w:r>
      <w:r>
        <w:rPr>
          <w:rFonts w:ascii="Times New Roman" w:hAnsi="Times New Roman" w:eastAsia="方正仿宋_GB2312" w:cs="Times New Roman"/>
          <w:color w:val="auto"/>
        </w:rPr>
        <w:t>6</w:t>
      </w:r>
      <w:r>
        <w:rPr>
          <w:rFonts w:hint="eastAsia" w:ascii="Times New Roman" w:hAnsi="Times New Roman" w:eastAsia="方正仿宋_GB2312" w:cs="Times New Roman"/>
          <w:color w:val="auto"/>
        </w:rPr>
        <w:t xml:space="preserve"> 卫生通过 </w:t>
      </w:r>
    </w:p>
    <w:p w14:paraId="34C5D86C">
      <w:pPr>
        <w:pStyle w:val="5"/>
        <w:keepNext w:val="0"/>
        <w:keepLines w:val="0"/>
        <w:kinsoku/>
        <w:topLinePunct/>
        <w:autoSpaceDE/>
        <w:autoSpaceDN/>
        <w:snapToGrid/>
        <w:spacing w:before="0" w:after="0" w:line="600" w:lineRule="exact"/>
        <w:ind w:firstLine="560" w:firstLineChars="200"/>
        <w:contextualSpacing/>
        <w:jc w:val="both"/>
        <w:rPr>
          <w:rFonts w:ascii="Times New Roman" w:hAnsi="Times New Roman" w:eastAsia="方正仿宋_GB2312" w:cs="Times New Roman"/>
          <w:b w:val="0"/>
          <w:color w:val="auto"/>
        </w:rPr>
      </w:pPr>
      <w:r>
        <w:rPr>
          <w:rFonts w:hint="eastAsia" w:ascii="Times New Roman" w:hAnsi="Times New Roman" w:eastAsia="方正仿宋_GB2312" w:cs="Times New Roman"/>
          <w:b w:val="0"/>
          <w:color w:val="auto"/>
        </w:rPr>
        <w:t xml:space="preserve">采用换鞋、更衣、消洗等措施控制人员、物品从非洁净区到洁净区的净化过程。 </w:t>
      </w:r>
    </w:p>
    <w:p w14:paraId="4619582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color w:val="auto"/>
        </w:rPr>
      </w:pPr>
      <w:r>
        <w:rPr>
          <w:rFonts w:hint="eastAsia" w:ascii="Times New Roman" w:hAnsi="Times New Roman" w:eastAsia="方正仿宋_GB2312" w:cs="Times New Roman"/>
          <w:color w:val="auto"/>
        </w:rPr>
        <w:t>2.0.</w:t>
      </w:r>
      <w:r>
        <w:rPr>
          <w:rFonts w:ascii="Times New Roman" w:hAnsi="Times New Roman" w:eastAsia="方正仿宋_GB2312" w:cs="Times New Roman"/>
          <w:color w:val="auto"/>
        </w:rPr>
        <w:t>7</w:t>
      </w:r>
      <w:r>
        <w:rPr>
          <w:rFonts w:hint="eastAsia" w:ascii="Times New Roman" w:hAnsi="Times New Roman" w:eastAsia="方正仿宋_GB2312" w:cs="Times New Roman"/>
          <w:color w:val="auto"/>
        </w:rPr>
        <w:t xml:space="preserve"> 缓冲间 </w:t>
      </w:r>
    </w:p>
    <w:p w14:paraId="4B689556">
      <w:pPr>
        <w:pStyle w:val="5"/>
        <w:keepNext w:val="0"/>
        <w:keepLines w:val="0"/>
        <w:kinsoku/>
        <w:topLinePunct/>
        <w:autoSpaceDE/>
        <w:autoSpaceDN/>
        <w:snapToGrid/>
        <w:spacing w:before="0" w:after="0" w:line="600" w:lineRule="exact"/>
        <w:ind w:firstLine="560" w:firstLineChars="200"/>
        <w:contextualSpacing/>
        <w:jc w:val="both"/>
        <w:rPr>
          <w:rFonts w:ascii="Times New Roman" w:hAnsi="Times New Roman" w:eastAsia="方正仿宋_GB2312" w:cs="Times New Roman"/>
          <w:b w:val="0"/>
          <w:color w:val="auto"/>
        </w:rPr>
      </w:pPr>
      <w:r>
        <w:rPr>
          <w:rFonts w:hint="eastAsia" w:ascii="Times New Roman" w:hAnsi="Times New Roman" w:eastAsia="方正仿宋_GB2312" w:cs="Times New Roman"/>
          <w:b w:val="0"/>
          <w:color w:val="auto"/>
        </w:rPr>
        <w:t xml:space="preserve">相邻空间之间安排设计的有组织气流并形成卫生安全屏障的隔间小室。 </w:t>
      </w:r>
    </w:p>
    <w:p w14:paraId="498DB7C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color w:val="auto"/>
        </w:rPr>
      </w:pPr>
      <w:r>
        <w:rPr>
          <w:rFonts w:hint="eastAsia" w:ascii="Times New Roman" w:hAnsi="Times New Roman" w:eastAsia="方正仿宋_GB2312" w:cs="Times New Roman"/>
          <w:color w:val="auto"/>
        </w:rPr>
        <w:t>2.0.</w:t>
      </w:r>
      <w:r>
        <w:rPr>
          <w:rFonts w:ascii="Times New Roman" w:hAnsi="Times New Roman" w:eastAsia="方正仿宋_GB2312" w:cs="Times New Roman"/>
          <w:color w:val="auto"/>
        </w:rPr>
        <w:t>8</w:t>
      </w:r>
      <w:r>
        <w:rPr>
          <w:rFonts w:hint="eastAsia" w:ascii="Times New Roman" w:hAnsi="Times New Roman" w:eastAsia="方正仿宋_GB2312" w:cs="Times New Roman"/>
          <w:color w:val="auto"/>
        </w:rPr>
        <w:t xml:space="preserve"> 负压病房 </w:t>
      </w:r>
    </w:p>
    <w:p w14:paraId="0118E4C3">
      <w:pPr>
        <w:pStyle w:val="5"/>
        <w:keepNext w:val="0"/>
        <w:keepLines w:val="0"/>
        <w:kinsoku/>
        <w:topLinePunct/>
        <w:autoSpaceDE/>
        <w:autoSpaceDN/>
        <w:snapToGrid/>
        <w:spacing w:before="0" w:after="0" w:line="600" w:lineRule="exact"/>
        <w:ind w:firstLine="560" w:firstLineChars="200"/>
        <w:contextualSpacing/>
        <w:jc w:val="both"/>
        <w:rPr>
          <w:rFonts w:ascii="Times New Roman" w:hAnsi="Times New Roman" w:eastAsia="方正仿宋_GB2312" w:cs="Times New Roman"/>
          <w:b w:val="0"/>
          <w:color w:val="auto"/>
        </w:rPr>
      </w:pPr>
      <w:r>
        <w:rPr>
          <w:rFonts w:hint="eastAsia" w:ascii="Times New Roman" w:hAnsi="Times New Roman" w:eastAsia="方正仿宋_GB2312" w:cs="Times New Roman"/>
          <w:b w:val="0"/>
          <w:color w:val="auto"/>
        </w:rPr>
        <w:t>采用平面空间分隔并配置通风或空调系统控制气流流向，保证室内空气静压低于周边区域空气静压，并采取有效卫生安全措施防止传染的病房。</w:t>
      </w:r>
    </w:p>
    <w:p w14:paraId="6192BBB0">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color w:val="auto"/>
        </w:rPr>
      </w:pPr>
      <w:r>
        <w:rPr>
          <w:rFonts w:hint="eastAsia" w:ascii="Times New Roman" w:hAnsi="Times New Roman" w:eastAsia="方正仿宋_GB2312" w:cs="Times New Roman"/>
          <w:color w:val="auto"/>
        </w:rPr>
        <w:t>2.0.</w:t>
      </w:r>
      <w:r>
        <w:rPr>
          <w:rFonts w:ascii="Times New Roman" w:hAnsi="Times New Roman" w:eastAsia="方正仿宋_GB2312" w:cs="Times New Roman"/>
          <w:color w:val="auto"/>
        </w:rPr>
        <w:t>9</w:t>
      </w:r>
      <w:r>
        <w:rPr>
          <w:rFonts w:hint="eastAsia" w:ascii="Times New Roman" w:hAnsi="Times New Roman" w:eastAsia="方正仿宋_GB2312" w:cs="Times New Roman"/>
          <w:color w:val="auto"/>
        </w:rPr>
        <w:t xml:space="preserve"> 负压隔离病房 </w:t>
      </w:r>
    </w:p>
    <w:p w14:paraId="42D3C438">
      <w:pPr>
        <w:pStyle w:val="5"/>
        <w:keepNext w:val="0"/>
        <w:keepLines w:val="0"/>
        <w:kinsoku/>
        <w:topLinePunct/>
        <w:autoSpaceDE/>
        <w:autoSpaceDN/>
        <w:snapToGrid/>
        <w:spacing w:before="0" w:after="0" w:line="600" w:lineRule="exact"/>
        <w:ind w:firstLine="560" w:firstLineChars="200"/>
        <w:contextualSpacing/>
        <w:jc w:val="both"/>
        <w:rPr>
          <w:rFonts w:ascii="Times New Roman" w:hAnsi="Times New Roman" w:eastAsia="方正仿宋_GB2312" w:cs="Times New Roman"/>
          <w:b w:val="0"/>
          <w:color w:val="auto"/>
        </w:rPr>
      </w:pPr>
      <w:r>
        <w:rPr>
          <w:rFonts w:hint="eastAsia" w:ascii="Times New Roman" w:hAnsi="Times New Roman" w:eastAsia="方正仿宋_GB2312" w:cs="Times New Roman"/>
          <w:b w:val="0"/>
          <w:color w:val="auto"/>
        </w:rPr>
        <w:t>采用平面空间分隔并配置全新风直流空气调节系统控制气流流向，保证室内空气静压低于周边区域空气静压，并采取有效卫生安全措施防止传染的病房。负压隔离病房主要用于收治病情复杂的呼吸道传染病患者。</w:t>
      </w:r>
    </w:p>
    <w:p w14:paraId="052A3EC0">
      <w:pPr>
        <w:rPr>
          <w:rFonts w:ascii="宋体" w:hAnsi="宋体" w:eastAsia="宋体"/>
          <w:color w:val="000000"/>
          <w:sz w:val="28"/>
          <w:szCs w:val="28"/>
        </w:rPr>
      </w:pPr>
      <w:r>
        <w:rPr>
          <w:rFonts w:ascii="宋体" w:hAnsi="宋体" w:eastAsia="宋体"/>
          <w:color w:val="000000"/>
          <w:sz w:val="28"/>
          <w:szCs w:val="28"/>
        </w:rPr>
        <w:br w:type="page"/>
      </w:r>
    </w:p>
    <w:p w14:paraId="1091D935">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b w:val="0"/>
          <w:snapToGrid w:val="0"/>
          <w:kern w:val="0"/>
          <w:sz w:val="40"/>
          <w:szCs w:val="40"/>
          <w:lang w:eastAsia="en-US"/>
        </w:rPr>
      </w:pPr>
      <w:bookmarkStart w:id="8" w:name="_Toc205393789"/>
      <w:r>
        <w:rPr>
          <w:rFonts w:ascii="Times New Roman" w:hAnsi="Times New Roman" w:eastAsia="黑体"/>
          <w:b w:val="0"/>
          <w:snapToGrid w:val="0"/>
          <w:kern w:val="0"/>
          <w:sz w:val="40"/>
          <w:szCs w:val="40"/>
          <w:lang w:eastAsia="en-US"/>
        </w:rPr>
        <w:t xml:space="preserve">3  </w:t>
      </w:r>
      <w:r>
        <w:rPr>
          <w:rFonts w:hint="eastAsia" w:ascii="Times New Roman" w:hAnsi="Times New Roman" w:eastAsia="黑体"/>
          <w:b w:val="0"/>
          <w:snapToGrid w:val="0"/>
          <w:kern w:val="0"/>
          <w:sz w:val="40"/>
          <w:szCs w:val="40"/>
          <w:lang w:eastAsia="en-US"/>
        </w:rPr>
        <w:t>基本要</w:t>
      </w:r>
      <w:r>
        <w:rPr>
          <w:rFonts w:hint="eastAsia" w:ascii="Times New Roman" w:hAnsi="Times New Roman" w:eastAsia="黑体"/>
          <w:b w:val="0"/>
          <w:snapToGrid w:val="0"/>
          <w:kern w:val="0"/>
          <w:sz w:val="40"/>
          <w:szCs w:val="40"/>
        </w:rPr>
        <w:t>求</w:t>
      </w:r>
    </w:p>
    <w:bookmarkEnd w:id="8"/>
    <w:p w14:paraId="544BC44B">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b w:val="0"/>
          <w:snapToGrid w:val="0"/>
          <w:kern w:val="0"/>
          <w:sz w:val="40"/>
          <w:szCs w:val="40"/>
          <w:lang w:eastAsia="en-US"/>
        </w:rPr>
      </w:pPr>
    </w:p>
    <w:p w14:paraId="14A3ED4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3.0.1 “平急两用”医疗应急服务点“急时”作为定点应急救治场所，宜依托二级以上公立医院的医疗资源，位于医院内相对独立的区域。</w:t>
      </w:r>
    </w:p>
    <w:p w14:paraId="5E75AAF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3.0.2 医疗应急服务点设置的重症监护床位数量（含可转换重症救治床位）不应低于医院编制床位总数的10%。</w:t>
      </w:r>
    </w:p>
    <w:p w14:paraId="2CC865E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3.0.3 医疗应急服务点“急时”应符合“三区两通道”要求。</w:t>
      </w:r>
    </w:p>
    <w:p w14:paraId="0E379C4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 xml:space="preserve">3.0.4 </w:t>
      </w:r>
      <w:r>
        <w:rPr>
          <w:rFonts w:ascii="Times New Roman" w:hAnsi="Times New Roman" w:eastAsia="方正仿宋_GB2312" w:cs="Times New Roman"/>
          <w:b w:val="0"/>
          <w:bCs w:val="0"/>
          <w:color w:val="auto"/>
        </w:rPr>
        <w:t>“平急两用”应遵循“安全至上”的原则，保证在“平时”和“急时”状态下消防、无障碍、建筑结构、生物、环境、及设施设备等均满足相关规范、标准的质量控制要求。</w:t>
      </w:r>
    </w:p>
    <w:p w14:paraId="3B1D5BB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3.0.5 隔离房间、隔离区域的空调系统应采用独立空调形式。</w:t>
      </w:r>
    </w:p>
    <w:p w14:paraId="25E2876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3.0.6 主要机房、设备检修场所宜设置在清洁区。</w:t>
      </w:r>
    </w:p>
    <w:p w14:paraId="2C34A5F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3.0.7</w:t>
      </w:r>
      <w:r>
        <w:rPr>
          <w:rFonts w:ascii="Times New Roman" w:hAnsi="Times New Roman" w:eastAsia="方正仿宋_GB2312" w:cs="Times New Roman"/>
          <w:b w:val="0"/>
          <w:bCs w:val="0"/>
          <w:color w:val="auto"/>
        </w:rPr>
        <w:t xml:space="preserve"> 医疗应急服务点应设置医用氧气供应源，并应供应满足国家规定的用于医疗用途的氧气。</w:t>
      </w:r>
    </w:p>
    <w:p w14:paraId="4C7CDD04">
      <w:pPr>
        <w:pStyle w:val="5"/>
        <w:keepNext w:val="0"/>
        <w:keepLines w:val="0"/>
        <w:kinsoku/>
        <w:topLinePunct/>
        <w:autoSpaceDE/>
        <w:autoSpaceDN/>
        <w:snapToGrid/>
        <w:spacing w:before="0" w:after="0" w:line="600" w:lineRule="exact"/>
        <w:contextualSpacing/>
        <w:jc w:val="both"/>
        <w:rPr>
          <w:rFonts w:ascii="宋体" w:hAnsi="宋体" w:eastAsia="宋体"/>
        </w:rPr>
      </w:pPr>
      <w:r>
        <w:rPr>
          <w:rFonts w:hint="eastAsia" w:ascii="Times New Roman" w:hAnsi="Times New Roman" w:eastAsia="方正仿宋_GB2312" w:cs="Times New Roman"/>
          <w:b w:val="0"/>
          <w:bCs w:val="0"/>
          <w:color w:val="auto"/>
        </w:rPr>
        <w:t>3.0.8</w:t>
      </w:r>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新建“平急两用”</w:t>
      </w:r>
      <w:bookmarkStart w:id="9" w:name="OLE_LINK28"/>
      <w:bookmarkStart w:id="10" w:name="OLE_LINK29"/>
      <w:r>
        <w:rPr>
          <w:rFonts w:hint="eastAsia" w:ascii="Times New Roman" w:hAnsi="Times New Roman" w:eastAsia="方正仿宋_GB2312" w:cs="Times New Roman"/>
          <w:b w:val="0"/>
          <w:bCs w:val="0"/>
          <w:color w:val="auto"/>
        </w:rPr>
        <w:t>医疗应急服务点</w:t>
      </w:r>
      <w:bookmarkEnd w:id="9"/>
      <w:bookmarkEnd w:id="10"/>
      <w:r>
        <w:rPr>
          <w:rFonts w:hint="eastAsia" w:ascii="Times New Roman" w:hAnsi="Times New Roman" w:eastAsia="方正仿宋_GB2312" w:cs="Times New Roman"/>
          <w:b w:val="0"/>
          <w:bCs w:val="0"/>
          <w:color w:val="auto"/>
        </w:rPr>
        <w:t>在“平时”和“急时”的使用过程中均应应符合《建筑设计防火规范》</w:t>
      </w:r>
      <w:r>
        <w:rPr>
          <w:rFonts w:ascii="Times New Roman" w:hAnsi="Times New Roman" w:eastAsia="方正仿宋_GB2312" w:cs="Times New Roman"/>
          <w:b w:val="0"/>
          <w:bCs w:val="0"/>
          <w:color w:val="auto"/>
        </w:rPr>
        <w:t>GB 50016</w:t>
      </w:r>
      <w:r>
        <w:rPr>
          <w:rFonts w:hint="eastAsia" w:ascii="Times New Roman" w:hAnsi="Times New Roman" w:eastAsia="方正仿宋_GB2312" w:cs="Times New Roman"/>
          <w:b w:val="0"/>
          <w:bCs w:val="0"/>
          <w:color w:val="auto"/>
        </w:rPr>
        <w:t>、《消防设施通用规范》</w:t>
      </w:r>
      <w:r>
        <w:rPr>
          <w:rFonts w:ascii="Times New Roman" w:hAnsi="Times New Roman" w:eastAsia="方正仿宋_GB2312" w:cs="Times New Roman"/>
          <w:b w:val="0"/>
          <w:bCs w:val="0"/>
          <w:color w:val="auto"/>
        </w:rPr>
        <w:t>GB 55036</w:t>
      </w:r>
      <w:r>
        <w:rPr>
          <w:rFonts w:hint="eastAsia" w:ascii="Times New Roman" w:hAnsi="Times New Roman" w:eastAsia="方正仿宋_GB2312" w:cs="Times New Roman"/>
          <w:b w:val="0"/>
          <w:bCs w:val="0"/>
          <w:color w:val="auto"/>
        </w:rPr>
        <w:t>、《建筑防火通用规范》</w:t>
      </w:r>
      <w:r>
        <w:rPr>
          <w:rFonts w:ascii="Times New Roman" w:hAnsi="Times New Roman" w:eastAsia="方正仿宋_GB2312" w:cs="Times New Roman"/>
          <w:b w:val="0"/>
          <w:bCs w:val="0"/>
          <w:color w:val="auto"/>
        </w:rPr>
        <w:t>GB 55037</w:t>
      </w:r>
      <w:r>
        <w:rPr>
          <w:rFonts w:hint="eastAsia" w:ascii="Times New Roman" w:hAnsi="Times New Roman" w:eastAsia="方正仿宋_GB2312" w:cs="Times New Roman"/>
          <w:b w:val="0"/>
          <w:bCs w:val="0"/>
          <w:color w:val="auto"/>
        </w:rPr>
        <w:t>、《建筑内部装修设计防火规范》</w:t>
      </w:r>
      <w:r>
        <w:rPr>
          <w:rFonts w:ascii="Times New Roman" w:hAnsi="Times New Roman" w:eastAsia="方正仿宋_GB2312" w:cs="Times New Roman"/>
          <w:b w:val="0"/>
          <w:bCs w:val="0"/>
          <w:color w:val="auto"/>
        </w:rPr>
        <w:t>GB 50222</w:t>
      </w:r>
      <w:r>
        <w:rPr>
          <w:rFonts w:hint="eastAsia" w:ascii="Times New Roman" w:hAnsi="Times New Roman" w:eastAsia="方正仿宋_GB2312" w:cs="Times New Roman"/>
          <w:b w:val="0"/>
          <w:bCs w:val="0"/>
          <w:color w:val="auto"/>
        </w:rPr>
        <w:t>、《建筑防火封堵应用技术标准》</w:t>
      </w:r>
      <w:r>
        <w:rPr>
          <w:rFonts w:ascii="Times New Roman" w:hAnsi="Times New Roman" w:eastAsia="方正仿宋_GB2312" w:cs="Times New Roman"/>
          <w:b w:val="0"/>
          <w:bCs w:val="0"/>
          <w:color w:val="auto"/>
        </w:rPr>
        <w:t>GB/T 51410</w:t>
      </w:r>
      <w:r>
        <w:rPr>
          <w:rFonts w:hint="eastAsia" w:ascii="Times New Roman" w:hAnsi="Times New Roman" w:eastAsia="方正仿宋_GB2312" w:cs="Times New Roman"/>
          <w:b w:val="0"/>
          <w:bCs w:val="0"/>
          <w:color w:val="auto"/>
        </w:rPr>
        <w:t>《陕西省建筑设计防火、审查、验收疑难问题技术指南》等现行工程建设消防技术规范、标准。既有建筑改造利用为“平急两用”医疗应急服务点，应符合《既有建筑维护与改造通用规范》</w:t>
      </w:r>
      <w:r>
        <w:rPr>
          <w:rFonts w:ascii="Times New Roman" w:hAnsi="Times New Roman" w:eastAsia="方正仿宋_GB2312" w:cs="Times New Roman"/>
          <w:b w:val="0"/>
          <w:bCs w:val="0"/>
          <w:color w:val="auto"/>
        </w:rPr>
        <w:t>GB 55022</w:t>
      </w:r>
      <w:r>
        <w:rPr>
          <w:rFonts w:hint="eastAsia" w:ascii="Times New Roman" w:hAnsi="Times New Roman" w:eastAsia="方正仿宋_GB2312" w:cs="Times New Roman"/>
          <w:b w:val="0"/>
          <w:bCs w:val="0"/>
          <w:color w:val="auto"/>
        </w:rPr>
        <w:t>等相关规范及政策规定。</w:t>
      </w:r>
      <w:r>
        <w:rPr>
          <w:rFonts w:ascii="宋体" w:hAnsi="宋体" w:eastAsia="宋体"/>
        </w:rPr>
        <w:br w:type="page"/>
      </w:r>
    </w:p>
    <w:p w14:paraId="01525652">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b w:val="0"/>
          <w:snapToGrid w:val="0"/>
          <w:kern w:val="0"/>
          <w:sz w:val="40"/>
          <w:szCs w:val="40"/>
          <w:lang w:eastAsia="en-US"/>
        </w:rPr>
      </w:pPr>
      <w:bookmarkStart w:id="11" w:name="_Toc205393790"/>
      <w:r>
        <w:rPr>
          <w:rFonts w:hint="eastAsia" w:ascii="Times New Roman" w:hAnsi="Times New Roman" w:eastAsia="黑体"/>
          <w:b w:val="0"/>
          <w:snapToGrid w:val="0"/>
          <w:kern w:val="0"/>
          <w:sz w:val="40"/>
          <w:szCs w:val="40"/>
          <w:lang w:eastAsia="en-US"/>
        </w:rPr>
        <w:t xml:space="preserve">4 </w:t>
      </w:r>
      <w:r>
        <w:rPr>
          <w:rFonts w:ascii="Times New Roman" w:hAnsi="Times New Roman" w:eastAsia="黑体"/>
          <w:b w:val="0"/>
          <w:snapToGrid w:val="0"/>
          <w:kern w:val="0"/>
          <w:sz w:val="40"/>
          <w:szCs w:val="40"/>
          <w:lang w:eastAsia="en-US"/>
        </w:rPr>
        <w:t xml:space="preserve"> </w:t>
      </w:r>
      <w:r>
        <w:rPr>
          <w:rFonts w:hint="eastAsia" w:ascii="Times New Roman" w:hAnsi="Times New Roman" w:eastAsia="黑体"/>
          <w:b w:val="0"/>
          <w:snapToGrid w:val="0"/>
          <w:kern w:val="0"/>
          <w:sz w:val="40"/>
          <w:szCs w:val="40"/>
          <w:lang w:eastAsia="en-US"/>
        </w:rPr>
        <w:t>选址要</w:t>
      </w:r>
      <w:r>
        <w:rPr>
          <w:rFonts w:hint="eastAsia" w:ascii="Times New Roman" w:hAnsi="Times New Roman" w:eastAsia="黑体"/>
          <w:b w:val="0"/>
          <w:snapToGrid w:val="0"/>
          <w:kern w:val="0"/>
          <w:sz w:val="40"/>
          <w:szCs w:val="40"/>
        </w:rPr>
        <w:t>求</w:t>
      </w:r>
    </w:p>
    <w:bookmarkEnd w:id="11"/>
    <w:p w14:paraId="1F063CE6">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b w:val="0"/>
          <w:snapToGrid w:val="0"/>
          <w:kern w:val="0"/>
          <w:sz w:val="40"/>
          <w:szCs w:val="40"/>
          <w:lang w:eastAsia="en-US"/>
        </w:rPr>
      </w:pPr>
    </w:p>
    <w:p w14:paraId="5A6590B3">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 xml:space="preserve">4.0.1 </w:t>
      </w:r>
      <w:r>
        <w:rPr>
          <w:rFonts w:hint="eastAsia" w:ascii="Times New Roman" w:hAnsi="Times New Roman" w:eastAsia="方正仿宋_GB2312" w:cs="Times New Roman"/>
          <w:b w:val="0"/>
          <w:bCs w:val="0"/>
          <w:color w:val="auto"/>
        </w:rPr>
        <w:t>医疗应急服务点选</w:t>
      </w:r>
      <w:r>
        <w:rPr>
          <w:rFonts w:ascii="Times New Roman" w:hAnsi="Times New Roman" w:eastAsia="方正仿宋_GB2312" w:cs="Times New Roman"/>
          <w:b w:val="0"/>
          <w:bCs w:val="0"/>
          <w:color w:val="auto"/>
        </w:rPr>
        <w:t>址</w:t>
      </w:r>
      <w:r>
        <w:rPr>
          <w:rFonts w:hint="eastAsia" w:ascii="Times New Roman" w:hAnsi="Times New Roman" w:eastAsia="方正仿宋_GB2312" w:cs="Times New Roman"/>
          <w:b w:val="0"/>
          <w:bCs w:val="0"/>
          <w:color w:val="auto"/>
        </w:rPr>
        <w:t>和布局应符合宝鸡市国土空间总体规划、详细规划、专项规划等法定规划，划定特定控制线管理，保障其用地规模和布局合理性。</w:t>
      </w:r>
    </w:p>
    <w:p w14:paraId="3B6EA207">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4.0.2 场地应避开易燃、易爆、有毒危险品存放点、严重污染源以及其他易发生次生灾害的区域。</w:t>
      </w:r>
    </w:p>
    <w:p w14:paraId="2FBB854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4.0.3 场地及周边应具备良好的地质条件，齐备的市政设施，便利的交通设施。</w:t>
      </w:r>
    </w:p>
    <w:p w14:paraId="624BFED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4.0.4 场地应环境安静、远离污染源，并与儿童活动场所、老年人服务设施有一定距离，同时不应污染、影响其他区域。</w:t>
      </w:r>
    </w:p>
    <w:p w14:paraId="38C56CA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4.0.5 选址应方便群众就近就医，宜临近或结合居民居住场所设置，以利于优化分级诊疗，确保首诊、轻症就诊便利，发挥哨点功能，并便于特殊情况下闭环转诊上级医疗机构。</w:t>
      </w:r>
    </w:p>
    <w:p w14:paraId="70CAB5A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4.0.6 医疗应急服务点宜独立设置在医疗机构的独立区域，并与急诊、传染病楼有便捷联系。</w:t>
      </w:r>
    </w:p>
    <w:p w14:paraId="3552374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4.0.7 医疗应急服务点与医院周围其他建筑或公共活动场所的距离应保持20米以上的卫生安全距离。</w:t>
      </w:r>
    </w:p>
    <w:p w14:paraId="605BB057">
      <w:pPr>
        <w:rPr>
          <w:rFonts w:ascii="宋体" w:hAnsi="宋体" w:eastAsia="宋体"/>
          <w:sz w:val="28"/>
          <w:szCs w:val="28"/>
        </w:rPr>
      </w:pPr>
      <w:r>
        <w:rPr>
          <w:rFonts w:ascii="宋体" w:hAnsi="宋体" w:eastAsia="宋体"/>
          <w:sz w:val="28"/>
          <w:szCs w:val="28"/>
        </w:rPr>
        <w:br w:type="page"/>
      </w:r>
    </w:p>
    <w:p w14:paraId="27B41153">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b w:val="0"/>
          <w:snapToGrid w:val="0"/>
          <w:kern w:val="0"/>
          <w:sz w:val="40"/>
          <w:szCs w:val="40"/>
          <w:lang w:eastAsia="en-US"/>
        </w:rPr>
      </w:pPr>
      <w:bookmarkStart w:id="12" w:name="_Toc205393791"/>
      <w:r>
        <w:rPr>
          <w:rFonts w:hint="eastAsia" w:ascii="Times New Roman" w:hAnsi="Times New Roman" w:eastAsia="黑体"/>
          <w:b w:val="0"/>
          <w:snapToGrid w:val="0"/>
          <w:kern w:val="0"/>
          <w:sz w:val="40"/>
          <w:szCs w:val="40"/>
          <w:lang w:eastAsia="en-US"/>
        </w:rPr>
        <w:t>5</w:t>
      </w:r>
      <w:r>
        <w:rPr>
          <w:rFonts w:ascii="Times New Roman" w:hAnsi="Times New Roman" w:eastAsia="黑体"/>
          <w:b w:val="0"/>
          <w:snapToGrid w:val="0"/>
          <w:kern w:val="0"/>
          <w:sz w:val="40"/>
          <w:szCs w:val="40"/>
          <w:lang w:eastAsia="en-US"/>
        </w:rPr>
        <w:t xml:space="preserve">  </w:t>
      </w:r>
      <w:r>
        <w:rPr>
          <w:rFonts w:hint="eastAsia" w:ascii="Times New Roman" w:hAnsi="Times New Roman" w:eastAsia="黑体"/>
          <w:b w:val="0"/>
          <w:snapToGrid w:val="0"/>
          <w:kern w:val="0"/>
          <w:sz w:val="40"/>
          <w:szCs w:val="40"/>
          <w:lang w:eastAsia="en-US"/>
        </w:rPr>
        <w:t>总平</w:t>
      </w:r>
      <w:r>
        <w:rPr>
          <w:rFonts w:hint="eastAsia" w:ascii="Times New Roman" w:hAnsi="Times New Roman" w:eastAsia="黑体"/>
          <w:b w:val="0"/>
          <w:snapToGrid w:val="0"/>
          <w:kern w:val="0"/>
          <w:sz w:val="40"/>
          <w:szCs w:val="40"/>
        </w:rPr>
        <w:t>面</w:t>
      </w:r>
    </w:p>
    <w:bookmarkEnd w:id="12"/>
    <w:p w14:paraId="5C28E1DC">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b w:val="0"/>
          <w:snapToGrid w:val="0"/>
          <w:kern w:val="0"/>
          <w:sz w:val="40"/>
          <w:szCs w:val="40"/>
          <w:lang w:eastAsia="en-US"/>
        </w:rPr>
      </w:pPr>
      <w:r>
        <w:rPr>
          <w:rFonts w:hint="eastAsia" w:ascii="Times New Roman" w:hAnsi="Times New Roman" w:eastAsia="黑体"/>
          <w:b w:val="0"/>
          <w:snapToGrid w:val="0"/>
          <w:kern w:val="0"/>
          <w:sz w:val="40"/>
          <w:szCs w:val="40"/>
          <w:lang w:eastAsia="en-US"/>
        </w:rPr>
        <w:t xml:space="preserve"> </w:t>
      </w:r>
    </w:p>
    <w:p w14:paraId="4E54073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lang w:eastAsia="zh-CN"/>
        </w:rPr>
      </w:pPr>
      <w:r>
        <w:rPr>
          <w:rFonts w:hint="eastAsia" w:ascii="Times New Roman" w:hAnsi="Times New Roman" w:eastAsia="方正仿宋_GB2312" w:cs="Times New Roman"/>
          <w:b w:val="0"/>
          <w:bCs w:val="0"/>
          <w:color w:val="auto"/>
          <w:lang w:eastAsia="zh-CN"/>
        </w:rPr>
        <w:t>5.0.1 “平急两用”医疗应急服务点应设置独立的患者出入口、医护人员出入口和污物出口。</w:t>
      </w:r>
    </w:p>
    <w:p w14:paraId="54D60FE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lang w:eastAsia="zh-CN"/>
        </w:rPr>
      </w:pPr>
      <w:r>
        <w:rPr>
          <w:rFonts w:hint="eastAsia" w:ascii="Times New Roman" w:hAnsi="Times New Roman" w:eastAsia="方正仿宋_GB2312" w:cs="Times New Roman"/>
          <w:b w:val="0"/>
          <w:bCs w:val="0"/>
          <w:color w:val="auto"/>
          <w:lang w:eastAsia="zh-CN"/>
        </w:rPr>
        <w:t>5.0.2 患者流线和医务人员流线应避免交叉，物资配送流线和垃圾运输流线应分开。</w:t>
      </w:r>
    </w:p>
    <w:p w14:paraId="4057739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lang w:eastAsia="zh-CN"/>
        </w:rPr>
      </w:pPr>
      <w:r>
        <w:rPr>
          <w:rFonts w:hint="eastAsia" w:ascii="Times New Roman" w:hAnsi="Times New Roman" w:eastAsia="方正仿宋_GB2312" w:cs="Times New Roman"/>
          <w:b w:val="0"/>
          <w:bCs w:val="0"/>
          <w:color w:val="auto"/>
          <w:lang w:eastAsia="zh-CN"/>
        </w:rPr>
        <w:t>5.0.3 院前宜预留足够的院前分诊和转诊场地，具有室外分诊的条件。</w:t>
      </w:r>
    </w:p>
    <w:p w14:paraId="30B5F7D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lang w:eastAsia="zh-CN"/>
        </w:rPr>
      </w:pPr>
      <w:r>
        <w:rPr>
          <w:rFonts w:hint="eastAsia" w:ascii="Times New Roman" w:hAnsi="Times New Roman" w:eastAsia="方正仿宋_GB2312" w:cs="Times New Roman"/>
          <w:b w:val="0"/>
          <w:bCs w:val="0"/>
          <w:color w:val="auto"/>
          <w:lang w:eastAsia="zh-CN"/>
        </w:rPr>
        <w:t>5.0.4 隔离人员出入口附近应设置车辆停靠和车辆洗消场所。</w:t>
      </w:r>
    </w:p>
    <w:p w14:paraId="27B76AD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lang w:eastAsia="zh-CN"/>
        </w:rPr>
      </w:pPr>
      <w:r>
        <w:rPr>
          <w:rFonts w:hint="eastAsia" w:ascii="Times New Roman" w:hAnsi="Times New Roman" w:eastAsia="方正仿宋_GB2312" w:cs="Times New Roman"/>
          <w:b w:val="0"/>
          <w:bCs w:val="0"/>
          <w:color w:val="auto"/>
          <w:lang w:eastAsia="zh-CN"/>
        </w:rPr>
        <w:t>5.0.5 清洁区应设置在场地主导风的上风向。</w:t>
      </w:r>
    </w:p>
    <w:p w14:paraId="50BC6A5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lang w:eastAsia="zh-CN"/>
        </w:rPr>
      </w:pPr>
      <w:r>
        <w:rPr>
          <w:rFonts w:hint="eastAsia" w:ascii="Times New Roman" w:hAnsi="Times New Roman" w:eastAsia="方正仿宋_GB2312" w:cs="Times New Roman"/>
          <w:b w:val="0"/>
          <w:bCs w:val="0"/>
          <w:color w:val="auto"/>
          <w:lang w:eastAsia="zh-CN"/>
        </w:rPr>
        <w:t>5.0.6 垃圾暂存间、污水处理等设施应设置在污染区内，并应设置在场地主导风的下风向，医疗废物集中暂存区应设有明显的医疗废物警示标识，有严密的封闭、防雨淋、防扬散等措施，避免对其他区域造成污染。</w:t>
      </w:r>
    </w:p>
    <w:p w14:paraId="2FCB58D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lang w:eastAsia="zh-CN"/>
        </w:rPr>
      </w:pPr>
      <w:r>
        <w:rPr>
          <w:rFonts w:hint="eastAsia" w:ascii="Times New Roman" w:hAnsi="Times New Roman" w:eastAsia="方正仿宋_GB2312" w:cs="Times New Roman"/>
          <w:b w:val="0"/>
          <w:bCs w:val="0"/>
          <w:color w:val="auto"/>
          <w:lang w:eastAsia="zh-CN"/>
        </w:rPr>
        <w:t>5.0.7 “平急两用”医疗应急服务点各功能区宜预留扩展场地，有条件的定点医疗机构宜设置直升机停机坪使用场地。</w:t>
      </w:r>
    </w:p>
    <w:p w14:paraId="70C73D98">
      <w:pPr>
        <w:rPr>
          <w:rFonts w:ascii="宋体" w:hAnsi="宋体" w:eastAsia="宋体" w:cs="宋体"/>
          <w:color w:val="333333"/>
          <w:kern w:val="0"/>
          <w:sz w:val="28"/>
          <w:szCs w:val="28"/>
        </w:rPr>
      </w:pPr>
      <w:r>
        <w:rPr>
          <w:rFonts w:ascii="宋体" w:hAnsi="宋体" w:eastAsia="宋体" w:cs="宋体"/>
          <w:color w:val="333333"/>
          <w:kern w:val="0"/>
          <w:sz w:val="28"/>
          <w:szCs w:val="28"/>
        </w:rPr>
        <w:br w:type="page"/>
      </w:r>
    </w:p>
    <w:p w14:paraId="50BA83DC">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b w:val="0"/>
          <w:snapToGrid w:val="0"/>
          <w:kern w:val="0"/>
          <w:sz w:val="40"/>
          <w:szCs w:val="40"/>
          <w:lang w:eastAsia="en-US"/>
        </w:rPr>
      </w:pPr>
      <w:bookmarkStart w:id="13" w:name="_Toc205393792"/>
      <w:r>
        <w:rPr>
          <w:rFonts w:ascii="Times New Roman" w:hAnsi="Times New Roman" w:eastAsia="黑体"/>
          <w:b w:val="0"/>
          <w:snapToGrid w:val="0"/>
          <w:kern w:val="0"/>
          <w:sz w:val="40"/>
          <w:szCs w:val="40"/>
          <w:lang w:eastAsia="en-US"/>
        </w:rPr>
        <w:t xml:space="preserve">6  </w:t>
      </w:r>
      <w:r>
        <w:rPr>
          <w:rFonts w:hint="eastAsia" w:ascii="Times New Roman" w:hAnsi="Times New Roman" w:eastAsia="黑体"/>
          <w:b w:val="0"/>
          <w:snapToGrid w:val="0"/>
          <w:kern w:val="0"/>
          <w:sz w:val="40"/>
          <w:szCs w:val="40"/>
          <w:lang w:eastAsia="en-US"/>
        </w:rPr>
        <w:t>建</w:t>
      </w:r>
      <w:r>
        <w:rPr>
          <w:rFonts w:hint="eastAsia" w:ascii="Times New Roman" w:hAnsi="Times New Roman" w:eastAsia="黑体"/>
          <w:b w:val="0"/>
          <w:snapToGrid w:val="0"/>
          <w:kern w:val="0"/>
          <w:sz w:val="40"/>
          <w:szCs w:val="40"/>
        </w:rPr>
        <w:t>筑</w:t>
      </w:r>
    </w:p>
    <w:bookmarkEnd w:id="13"/>
    <w:p w14:paraId="3AAB8EAB">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b w:val="0"/>
          <w:snapToGrid w:val="0"/>
          <w:kern w:val="0"/>
          <w:sz w:val="40"/>
          <w:szCs w:val="40"/>
          <w:lang w:eastAsia="en-US"/>
        </w:rPr>
      </w:pPr>
    </w:p>
    <w:p w14:paraId="25A07774">
      <w:pPr>
        <w:pStyle w:val="4"/>
        <w:keepNext w:val="0"/>
        <w:keepLines w:val="0"/>
        <w:kinsoku/>
        <w:topLinePunct/>
        <w:autoSpaceDE/>
        <w:autoSpaceDN/>
        <w:snapToGrid/>
        <w:spacing w:before="280" w:after="280" w:line="360" w:lineRule="auto"/>
        <w:contextualSpacing/>
        <w:jc w:val="center"/>
        <w:rPr>
          <w:rFonts w:ascii="黑体" w:hAnsi="黑体" w:eastAsia="黑体" w:cs="黑体"/>
          <w:b w:val="0"/>
          <w:color w:val="auto"/>
        </w:rPr>
      </w:pPr>
      <w:bookmarkStart w:id="14" w:name="_Toc205393793"/>
      <w:r>
        <w:rPr>
          <w:rFonts w:hint="eastAsia" w:ascii="黑体" w:hAnsi="黑体" w:eastAsia="黑体" w:cs="黑体"/>
          <w:b w:val="0"/>
          <w:color w:val="auto"/>
        </w:rPr>
        <w:t xml:space="preserve">6.1 </w:t>
      </w:r>
      <w:r>
        <w:rPr>
          <w:rFonts w:ascii="黑体" w:hAnsi="黑体" w:eastAsia="黑体" w:cs="黑体"/>
          <w:b w:val="0"/>
          <w:color w:val="auto"/>
        </w:rPr>
        <w:t xml:space="preserve"> </w:t>
      </w:r>
      <w:r>
        <w:rPr>
          <w:rFonts w:hint="eastAsia" w:ascii="黑体" w:hAnsi="黑体" w:eastAsia="黑体" w:cs="黑体"/>
          <w:b w:val="0"/>
          <w:color w:val="auto"/>
        </w:rPr>
        <w:t>污染区</w:t>
      </w:r>
      <w:bookmarkEnd w:id="14"/>
    </w:p>
    <w:p w14:paraId="0F0635E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6.1.1 “平急两用”医疗应急服务点的污染区应自成一区，并设独立出入口。</w:t>
      </w:r>
    </w:p>
    <w:p w14:paraId="29C2E21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6.1.2 医疗应急服务点的重症监护床位（含可转换的重症监护床位）宜按护理单元设计,一个</w:t>
      </w:r>
      <w:r>
        <w:rPr>
          <w:rFonts w:ascii="Times New Roman" w:hAnsi="Times New Roman" w:eastAsia="方正仿宋_GB2312" w:cs="Times New Roman"/>
          <w:b w:val="0"/>
          <w:bCs w:val="0"/>
          <w:color w:val="auto"/>
        </w:rPr>
        <w:t>护理单元规模宜为30</w:t>
      </w:r>
      <w:r>
        <w:rPr>
          <w:rFonts w:hint="eastAsia" w:ascii="Times New Roman" w:hAnsi="Times New Roman" w:eastAsia="方正仿宋_GB2312" w:cs="Times New Roman"/>
          <w:b w:val="0"/>
          <w:bCs w:val="0"/>
          <w:color w:val="auto"/>
        </w:rPr>
        <w:t>床左右。</w:t>
      </w:r>
    </w:p>
    <w:p w14:paraId="7F524DE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6.1.3 医疗应急服务点的重症监护床位与大型检查治疗设施及用房宜设置独立通道或短期封道消毒措施。</w:t>
      </w:r>
    </w:p>
    <w:p w14:paraId="20345C4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6.1.4 重症监护床位可按单人间设置，可转换重症监护病房单间人数不宜超过两人。</w:t>
      </w:r>
    </w:p>
    <w:p w14:paraId="78358A7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6.1.5 重症监护病区内宜设置负压隔离监护病房。</w:t>
      </w:r>
    </w:p>
    <w:p w14:paraId="1DC4CC2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6.1.6 室内装修面层材料应满足便于清洁</w:t>
      </w:r>
      <w:r>
        <w:rPr>
          <w:rFonts w:ascii="Times New Roman" w:hAnsi="Times New Roman" w:eastAsia="方正仿宋_GB2312" w:cs="Times New Roman"/>
          <w:b w:val="0"/>
          <w:bCs w:val="0"/>
          <w:color w:val="auto"/>
        </w:rPr>
        <w:t>、消毒</w:t>
      </w:r>
      <w:r>
        <w:rPr>
          <w:rFonts w:hint="eastAsia" w:ascii="Times New Roman" w:hAnsi="Times New Roman" w:eastAsia="方正仿宋_GB2312" w:cs="Times New Roman"/>
          <w:b w:val="0"/>
          <w:bCs w:val="0"/>
          <w:color w:val="auto"/>
        </w:rPr>
        <w:t>、防腐蚀和易于维护的要求。</w:t>
      </w:r>
    </w:p>
    <w:p w14:paraId="5C8982C4">
      <w:pPr>
        <w:pStyle w:val="4"/>
        <w:keepNext w:val="0"/>
        <w:keepLines w:val="0"/>
        <w:kinsoku/>
        <w:topLinePunct/>
        <w:autoSpaceDE/>
        <w:autoSpaceDN/>
        <w:snapToGrid/>
        <w:spacing w:before="280" w:after="280" w:line="360" w:lineRule="auto"/>
        <w:contextualSpacing/>
        <w:jc w:val="center"/>
        <w:rPr>
          <w:rFonts w:ascii="黑体" w:hAnsi="黑体" w:eastAsia="黑体" w:cs="黑体"/>
          <w:b w:val="0"/>
          <w:color w:val="auto"/>
        </w:rPr>
      </w:pPr>
      <w:bookmarkStart w:id="15" w:name="_Toc205393794"/>
      <w:r>
        <w:rPr>
          <w:rFonts w:hint="eastAsia" w:ascii="黑体" w:hAnsi="黑体" w:eastAsia="黑体" w:cs="黑体"/>
          <w:b w:val="0"/>
          <w:color w:val="auto"/>
        </w:rPr>
        <w:t xml:space="preserve">6.2 </w:t>
      </w:r>
      <w:r>
        <w:rPr>
          <w:rFonts w:ascii="黑体" w:hAnsi="黑体" w:eastAsia="黑体" w:cs="黑体"/>
          <w:b w:val="0"/>
          <w:color w:val="auto"/>
        </w:rPr>
        <w:t xml:space="preserve"> </w:t>
      </w:r>
      <w:r>
        <w:rPr>
          <w:rFonts w:hint="eastAsia" w:ascii="黑体" w:hAnsi="黑体" w:eastAsia="黑体" w:cs="黑体"/>
          <w:b w:val="0"/>
          <w:color w:val="auto"/>
        </w:rPr>
        <w:t>清洁区</w:t>
      </w:r>
      <w:bookmarkEnd w:id="15"/>
      <w:r>
        <w:rPr>
          <w:rFonts w:hint="eastAsia" w:ascii="黑体" w:hAnsi="黑体" w:eastAsia="黑体" w:cs="黑体"/>
          <w:b w:val="0"/>
          <w:color w:val="auto"/>
        </w:rPr>
        <w:t xml:space="preserve"> </w:t>
      </w:r>
    </w:p>
    <w:p w14:paraId="0874370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6.2.1 清洁区应自成一区并设独立出入口，通过缓冲区与污染区连通。</w:t>
      </w:r>
    </w:p>
    <w:p w14:paraId="31EB547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6.2.2 清洁区宜设置办公室、工作人员通道、值班室、会议室、物资库房、设备机房、开水间、工作人员宿舍及相关配套用房等。</w:t>
      </w:r>
    </w:p>
    <w:p w14:paraId="0649A6E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6.2.3 清洁区用房应有自然采光通风或机械通风措施。</w:t>
      </w:r>
    </w:p>
    <w:p w14:paraId="5F23BD71">
      <w:pPr>
        <w:pStyle w:val="4"/>
        <w:keepNext w:val="0"/>
        <w:keepLines w:val="0"/>
        <w:kinsoku/>
        <w:topLinePunct/>
        <w:autoSpaceDE/>
        <w:autoSpaceDN/>
        <w:snapToGrid/>
        <w:spacing w:before="280" w:after="280" w:line="360" w:lineRule="auto"/>
        <w:contextualSpacing/>
        <w:jc w:val="center"/>
        <w:rPr>
          <w:rFonts w:ascii="黑体" w:hAnsi="黑体" w:eastAsia="黑体" w:cs="黑体"/>
          <w:b w:val="0"/>
          <w:color w:val="auto"/>
        </w:rPr>
      </w:pPr>
      <w:bookmarkStart w:id="16" w:name="_Toc205393795"/>
      <w:r>
        <w:rPr>
          <w:rFonts w:hint="eastAsia" w:ascii="黑体" w:hAnsi="黑体" w:eastAsia="黑体" w:cs="黑体"/>
          <w:b w:val="0"/>
          <w:color w:val="auto"/>
        </w:rPr>
        <w:t xml:space="preserve">6.3 </w:t>
      </w:r>
      <w:r>
        <w:rPr>
          <w:rFonts w:ascii="黑体" w:hAnsi="黑体" w:eastAsia="黑体" w:cs="黑体"/>
          <w:b w:val="0"/>
          <w:color w:val="auto"/>
        </w:rPr>
        <w:t xml:space="preserve"> </w:t>
      </w:r>
      <w:r>
        <w:rPr>
          <w:rFonts w:hint="eastAsia" w:ascii="黑体" w:hAnsi="黑体" w:eastAsia="黑体" w:cs="黑体"/>
          <w:b w:val="0"/>
          <w:color w:val="auto"/>
        </w:rPr>
        <w:t>潜在污染区</w:t>
      </w:r>
      <w:bookmarkEnd w:id="16"/>
    </w:p>
    <w:p w14:paraId="3822711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6.3.1潜在污染区设于清洁区与污染区之间。</w:t>
      </w:r>
    </w:p>
    <w:p w14:paraId="5454031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6.3.</w:t>
      </w:r>
      <w:r>
        <w:rPr>
          <w:rFonts w:ascii="Times New Roman" w:hAnsi="Times New Roman" w:eastAsia="方正仿宋_GB2312" w:cs="Times New Roman"/>
          <w:b w:val="0"/>
          <w:bCs w:val="0"/>
          <w:color w:val="auto"/>
        </w:rPr>
        <w:t>2</w:t>
      </w:r>
      <w:r>
        <w:rPr>
          <w:rFonts w:hint="eastAsia" w:ascii="Times New Roman" w:hAnsi="Times New Roman" w:eastAsia="方正仿宋_GB2312" w:cs="Times New Roman"/>
          <w:b w:val="0"/>
          <w:bCs w:val="0"/>
          <w:color w:val="auto"/>
        </w:rPr>
        <w:t xml:space="preserve"> 潜在污染区包括收费、检验、药房、治疗准备间及患者用后物品、器械的处置室等区域。</w:t>
      </w:r>
    </w:p>
    <w:p w14:paraId="0EA0A1F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6.3.</w:t>
      </w:r>
      <w:r>
        <w:rPr>
          <w:rFonts w:ascii="Times New Roman" w:hAnsi="Times New Roman" w:eastAsia="方正仿宋_GB2312" w:cs="Times New Roman"/>
          <w:b w:val="0"/>
          <w:bCs w:val="0"/>
          <w:color w:val="auto"/>
        </w:rPr>
        <w:t>3</w:t>
      </w:r>
      <w:r>
        <w:rPr>
          <w:rFonts w:hint="eastAsia" w:ascii="Times New Roman" w:hAnsi="Times New Roman" w:eastAsia="方正仿宋_GB2312" w:cs="Times New Roman"/>
          <w:b w:val="0"/>
          <w:bCs w:val="0"/>
          <w:color w:val="auto"/>
        </w:rPr>
        <w:t xml:space="preserve"> 潜在污染区与污染区之间设缓冲间。</w:t>
      </w:r>
    </w:p>
    <w:p w14:paraId="1924311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6.3.</w:t>
      </w:r>
      <w:r>
        <w:rPr>
          <w:rFonts w:ascii="Times New Roman" w:hAnsi="Times New Roman" w:eastAsia="方正仿宋_GB2312" w:cs="Times New Roman"/>
          <w:b w:val="0"/>
          <w:bCs w:val="0"/>
          <w:color w:val="auto"/>
        </w:rPr>
        <w:t>4</w:t>
      </w:r>
      <w:r>
        <w:rPr>
          <w:rFonts w:hint="eastAsia" w:ascii="Times New Roman" w:hAnsi="Times New Roman" w:eastAsia="方正仿宋_GB2312" w:cs="Times New Roman"/>
          <w:b w:val="0"/>
          <w:bCs w:val="0"/>
          <w:color w:val="auto"/>
        </w:rPr>
        <w:t xml:space="preserve"> 潜在污染区的医护走道与病房之间宜设置观察窗。</w:t>
      </w:r>
    </w:p>
    <w:p w14:paraId="21FBE9CF">
      <w:pPr>
        <w:pStyle w:val="4"/>
        <w:keepNext w:val="0"/>
        <w:keepLines w:val="0"/>
        <w:kinsoku/>
        <w:topLinePunct/>
        <w:autoSpaceDE/>
        <w:autoSpaceDN/>
        <w:snapToGrid/>
        <w:spacing w:before="280" w:after="280" w:line="360" w:lineRule="auto"/>
        <w:contextualSpacing/>
        <w:jc w:val="center"/>
        <w:rPr>
          <w:rFonts w:ascii="黑体" w:hAnsi="黑体" w:eastAsia="黑体" w:cs="黑体"/>
          <w:b w:val="0"/>
          <w:color w:val="auto"/>
        </w:rPr>
      </w:pPr>
      <w:bookmarkStart w:id="17" w:name="_Toc205393796"/>
      <w:r>
        <w:rPr>
          <w:rFonts w:hint="eastAsia" w:ascii="黑体" w:hAnsi="黑体" w:eastAsia="黑体" w:cs="黑体"/>
          <w:b w:val="0"/>
          <w:color w:val="auto"/>
        </w:rPr>
        <w:t xml:space="preserve">6.4 </w:t>
      </w:r>
      <w:r>
        <w:rPr>
          <w:rFonts w:ascii="黑体" w:hAnsi="黑体" w:eastAsia="黑体" w:cs="黑体"/>
          <w:b w:val="0"/>
          <w:color w:val="auto"/>
        </w:rPr>
        <w:t xml:space="preserve"> </w:t>
      </w:r>
      <w:r>
        <w:rPr>
          <w:rFonts w:hint="eastAsia" w:ascii="黑体" w:hAnsi="黑体" w:eastAsia="黑体" w:cs="黑体"/>
          <w:b w:val="0"/>
          <w:color w:val="auto"/>
        </w:rPr>
        <w:t>卫生通过</w:t>
      </w:r>
      <w:bookmarkEnd w:id="17"/>
    </w:p>
    <w:p w14:paraId="132BFC6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6.4.1 卫生通过设于污染区或潜在污染区与清洁区之间。</w:t>
      </w:r>
    </w:p>
    <w:p w14:paraId="7D586B2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6.4.2 卫生通过区应符合下列规定：</w:t>
      </w:r>
    </w:p>
    <w:p w14:paraId="2A91EF07">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w:t>
      </w:r>
      <w:r>
        <w:rPr>
          <w:rFonts w:ascii="Times New Roman" w:hAnsi="Times New Roman" w:eastAsia="方正仿宋_GB2312" w:cs="Times New Roman"/>
          <w:b w:val="0"/>
          <w:bCs w:val="0"/>
          <w:color w:val="auto"/>
        </w:rPr>
        <w:t>.4.2.1</w:t>
      </w:r>
      <w:r>
        <w:rPr>
          <w:rFonts w:hint="eastAsia" w:ascii="Times New Roman" w:hAnsi="Times New Roman" w:eastAsia="方正仿宋_GB2312" w:cs="Times New Roman"/>
          <w:b w:val="0"/>
          <w:bCs w:val="0"/>
          <w:color w:val="auto"/>
        </w:rPr>
        <w:t xml:space="preserve"> 卫生通过区的工作人员进入和返回通道应严格分开；</w:t>
      </w:r>
    </w:p>
    <w:p w14:paraId="74E2ABB0">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w:t>
      </w:r>
      <w:r>
        <w:rPr>
          <w:rFonts w:ascii="Times New Roman" w:hAnsi="Times New Roman" w:eastAsia="方正仿宋_GB2312" w:cs="Times New Roman"/>
          <w:b w:val="0"/>
          <w:bCs w:val="0"/>
          <w:color w:val="auto"/>
        </w:rPr>
        <w:t>.4.2.2</w:t>
      </w:r>
      <w:r>
        <w:rPr>
          <w:rFonts w:hint="eastAsia" w:ascii="Times New Roman" w:hAnsi="Times New Roman" w:eastAsia="方正仿宋_GB2312" w:cs="Times New Roman"/>
          <w:b w:val="0"/>
          <w:bCs w:val="0"/>
          <w:color w:val="auto"/>
        </w:rPr>
        <w:t xml:space="preserve"> 工作人员进入隔离区，应经过更衣、穿戴防护装备、缓冲等房间；</w:t>
      </w:r>
    </w:p>
    <w:p w14:paraId="3B70FD1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w:t>
      </w:r>
      <w:r>
        <w:rPr>
          <w:rFonts w:ascii="Times New Roman" w:hAnsi="Times New Roman" w:eastAsia="方正仿宋_GB2312" w:cs="Times New Roman"/>
          <w:b w:val="0"/>
          <w:bCs w:val="0"/>
          <w:color w:val="auto"/>
        </w:rPr>
        <w:t>.4.2.3</w:t>
      </w:r>
      <w:r>
        <w:rPr>
          <w:rFonts w:hint="eastAsia" w:ascii="Times New Roman" w:hAnsi="Times New Roman" w:eastAsia="方正仿宋_GB2312" w:cs="Times New Roman"/>
          <w:b w:val="0"/>
          <w:bCs w:val="0"/>
          <w:color w:val="auto"/>
        </w:rPr>
        <w:t xml:space="preserve"> 工作人员经由隔离区返回工作准备区，应经过一脱、二脱、缓冲等房间，设立单向作业流程；</w:t>
      </w:r>
    </w:p>
    <w:p w14:paraId="1507778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w:t>
      </w:r>
      <w:r>
        <w:rPr>
          <w:rFonts w:ascii="Times New Roman" w:hAnsi="Times New Roman" w:eastAsia="方正仿宋_GB2312" w:cs="Times New Roman"/>
          <w:b w:val="0"/>
          <w:bCs w:val="0"/>
          <w:color w:val="auto"/>
        </w:rPr>
        <w:t>.4.2.4</w:t>
      </w:r>
      <w:r>
        <w:rPr>
          <w:rFonts w:hint="eastAsia" w:ascii="Times New Roman" w:hAnsi="Times New Roman" w:eastAsia="方正仿宋_GB2312" w:cs="Times New Roman"/>
          <w:b w:val="0"/>
          <w:bCs w:val="0"/>
          <w:color w:val="auto"/>
        </w:rPr>
        <w:t xml:space="preserve"> 物品运送车辆由隔离区返回工作准备区时，应经过洗消、缓冲等区域。</w:t>
      </w:r>
    </w:p>
    <w:p w14:paraId="7078198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6.4.3 卫生通过区的通道门应具有开启互锁功能。</w:t>
      </w:r>
    </w:p>
    <w:p w14:paraId="4E864E99">
      <w:pPr>
        <w:pStyle w:val="4"/>
        <w:keepNext w:val="0"/>
        <w:keepLines w:val="0"/>
        <w:kinsoku/>
        <w:topLinePunct/>
        <w:autoSpaceDE/>
        <w:autoSpaceDN/>
        <w:snapToGrid/>
        <w:spacing w:before="280" w:after="280" w:line="360" w:lineRule="auto"/>
        <w:contextualSpacing/>
        <w:jc w:val="center"/>
        <w:rPr>
          <w:rFonts w:ascii="黑体" w:hAnsi="黑体" w:eastAsia="黑体" w:cs="黑体"/>
          <w:b w:val="0"/>
          <w:color w:val="auto"/>
        </w:rPr>
      </w:pPr>
      <w:bookmarkStart w:id="18" w:name="_Toc205393797"/>
      <w:r>
        <w:rPr>
          <w:rFonts w:ascii="黑体" w:hAnsi="黑体" w:eastAsia="黑体" w:cs="黑体"/>
          <w:b w:val="0"/>
          <w:color w:val="auto"/>
        </w:rPr>
        <w:t xml:space="preserve">6.5  </w:t>
      </w:r>
      <w:r>
        <w:rPr>
          <w:rFonts w:hint="eastAsia" w:ascii="黑体" w:hAnsi="黑体" w:eastAsia="黑体" w:cs="黑体"/>
          <w:b w:val="0"/>
          <w:color w:val="auto"/>
        </w:rPr>
        <w:t>其他</w:t>
      </w:r>
      <w:bookmarkEnd w:id="18"/>
      <w:r>
        <w:rPr>
          <w:rFonts w:hint="eastAsia" w:ascii="黑体" w:hAnsi="黑体" w:eastAsia="黑体" w:cs="黑体"/>
          <w:b w:val="0"/>
          <w:color w:val="auto"/>
        </w:rPr>
        <w:t xml:space="preserve"> </w:t>
      </w:r>
    </w:p>
    <w:p w14:paraId="640424A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 xml:space="preserve">6.5.1 </w:t>
      </w:r>
      <w:r>
        <w:rPr>
          <w:rFonts w:hint="eastAsia" w:ascii="Times New Roman" w:hAnsi="Times New Roman" w:eastAsia="方正仿宋_GB2312" w:cs="Times New Roman"/>
          <w:b w:val="0"/>
          <w:bCs w:val="0"/>
          <w:color w:val="auto"/>
        </w:rPr>
        <w:t>有气密性要求的房间、区域边界隔墙应砌筑到梁底或楼板底，“急时”转换 设置的上述隔墙应采取措施封堵至梁底或楼板底，保证房间、区域气密性要求。</w:t>
      </w:r>
    </w:p>
    <w:p w14:paraId="0590B15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 xml:space="preserve">6.5.2 </w:t>
      </w:r>
      <w:r>
        <w:rPr>
          <w:rFonts w:hint="eastAsia" w:ascii="Times New Roman" w:hAnsi="Times New Roman" w:eastAsia="方正仿宋_GB2312" w:cs="Times New Roman"/>
          <w:b w:val="0"/>
          <w:bCs w:val="0"/>
          <w:color w:val="auto"/>
        </w:rPr>
        <w:t>穿越有气密性要求隔墙的管线周边缝隙及槽口、管口应采用气密性材料封堵。</w:t>
      </w:r>
    </w:p>
    <w:p w14:paraId="21561677">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6.5.</w:t>
      </w:r>
      <w:r>
        <w:rPr>
          <w:rFonts w:hint="eastAsia" w:ascii="Times New Roman" w:hAnsi="Times New Roman" w:eastAsia="方正仿宋_GB2312" w:cs="Times New Roman"/>
          <w:b w:val="0"/>
          <w:bCs w:val="0"/>
          <w:color w:val="auto"/>
        </w:rPr>
        <w:t>3 医疗应急服务点应设置专门的垃圾暂存区域，应分类收集、分类存放待转运的垃圾。医疗应急服务点的垃圾应严格按照相关规定和流程进行集中转运。暂存区域应定期消毒，防止病菌滋生和传播。</w:t>
      </w:r>
    </w:p>
    <w:p w14:paraId="76C89E5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6.</w:t>
      </w:r>
      <w:r>
        <w:rPr>
          <w:rFonts w:hint="eastAsia" w:ascii="Times New Roman" w:hAnsi="Times New Roman" w:eastAsia="方正仿宋_GB2312" w:cs="Times New Roman"/>
          <w:b w:val="0"/>
          <w:bCs w:val="0"/>
          <w:color w:val="auto"/>
        </w:rPr>
        <w:t>5</w:t>
      </w:r>
      <w:r>
        <w:rPr>
          <w:rFonts w:ascii="Times New Roman" w:hAnsi="Times New Roman" w:eastAsia="方正仿宋_GB2312" w:cs="Times New Roman"/>
          <w:b w:val="0"/>
          <w:bCs w:val="0"/>
          <w:color w:val="auto"/>
        </w:rPr>
        <w:t>.</w:t>
      </w:r>
      <w:r>
        <w:rPr>
          <w:rFonts w:hint="eastAsia" w:ascii="Times New Roman" w:hAnsi="Times New Roman" w:eastAsia="方正仿宋_GB2312" w:cs="Times New Roman"/>
          <w:b w:val="0"/>
          <w:bCs w:val="0"/>
          <w:color w:val="auto"/>
        </w:rPr>
        <w:t>4</w:t>
      </w:r>
      <w:r>
        <w:rPr>
          <w:rFonts w:ascii="Times New Roman" w:hAnsi="Times New Roman" w:eastAsia="方正仿宋_GB2312" w:cs="Times New Roman"/>
          <w:b w:val="0"/>
          <w:bCs w:val="0"/>
          <w:color w:val="auto"/>
        </w:rPr>
        <w:t xml:space="preserve"> “急时”地面不宜采用不易清洗、易燃的毛织、地毯等产品。</w:t>
      </w:r>
    </w:p>
    <w:p w14:paraId="44738CA7">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6.</w:t>
      </w:r>
      <w:r>
        <w:rPr>
          <w:rFonts w:hint="eastAsia" w:ascii="Times New Roman" w:hAnsi="Times New Roman" w:eastAsia="方正仿宋_GB2312" w:cs="Times New Roman"/>
          <w:b w:val="0"/>
          <w:bCs w:val="0"/>
          <w:color w:val="auto"/>
        </w:rPr>
        <w:t>5</w:t>
      </w:r>
      <w:r>
        <w:rPr>
          <w:rFonts w:ascii="Times New Roman" w:hAnsi="Times New Roman" w:eastAsia="方正仿宋_GB2312" w:cs="Times New Roman"/>
          <w:b w:val="0"/>
          <w:bCs w:val="0"/>
          <w:color w:val="auto"/>
        </w:rPr>
        <w:t>.</w:t>
      </w:r>
      <w:r>
        <w:rPr>
          <w:rFonts w:hint="eastAsia" w:ascii="Times New Roman" w:hAnsi="Times New Roman" w:eastAsia="方正仿宋_GB2312" w:cs="Times New Roman"/>
          <w:b w:val="0"/>
          <w:bCs w:val="0"/>
          <w:color w:val="auto"/>
        </w:rPr>
        <w:t>5</w:t>
      </w:r>
      <w:r>
        <w:rPr>
          <w:rFonts w:ascii="Times New Roman" w:hAnsi="Times New Roman" w:eastAsia="方正仿宋_GB2312" w:cs="Times New Roman"/>
          <w:b w:val="0"/>
          <w:bCs w:val="0"/>
          <w:color w:val="auto"/>
        </w:rPr>
        <w:t xml:space="preserve"> 建筑立面及室内各部位的色彩宜简洁明快，除有警示或其他提示外，不宜采用对环境和人员产生强烈刺激的色彩。</w:t>
      </w:r>
    </w:p>
    <w:p w14:paraId="4150D500">
      <w:pPr>
        <w:rPr>
          <w:rFonts w:ascii="宋体" w:hAnsi="宋体" w:eastAsia="宋体"/>
          <w:sz w:val="28"/>
          <w:szCs w:val="28"/>
        </w:rPr>
      </w:pPr>
      <w:r>
        <w:rPr>
          <w:rFonts w:ascii="宋体" w:hAnsi="宋体" w:eastAsia="宋体"/>
          <w:sz w:val="28"/>
          <w:szCs w:val="28"/>
        </w:rPr>
        <w:br w:type="page"/>
      </w:r>
    </w:p>
    <w:p w14:paraId="7179E858">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b w:val="0"/>
          <w:snapToGrid w:val="0"/>
          <w:kern w:val="0"/>
          <w:sz w:val="40"/>
          <w:szCs w:val="40"/>
          <w:lang w:eastAsia="en-US"/>
        </w:rPr>
      </w:pPr>
      <w:bookmarkStart w:id="19" w:name="_Toc205393798"/>
      <w:r>
        <w:rPr>
          <w:rFonts w:hint="eastAsia" w:ascii="Times New Roman" w:hAnsi="Times New Roman" w:eastAsia="黑体"/>
          <w:b w:val="0"/>
          <w:snapToGrid w:val="0"/>
          <w:kern w:val="0"/>
          <w:sz w:val="40"/>
          <w:szCs w:val="40"/>
          <w:lang w:eastAsia="en-US"/>
        </w:rPr>
        <w:t xml:space="preserve">7 </w:t>
      </w:r>
      <w:r>
        <w:rPr>
          <w:rFonts w:ascii="Times New Roman" w:hAnsi="Times New Roman" w:eastAsia="黑体"/>
          <w:b w:val="0"/>
          <w:snapToGrid w:val="0"/>
          <w:kern w:val="0"/>
          <w:sz w:val="40"/>
          <w:szCs w:val="40"/>
          <w:lang w:eastAsia="en-US"/>
        </w:rPr>
        <w:t xml:space="preserve"> </w:t>
      </w:r>
      <w:r>
        <w:rPr>
          <w:rFonts w:hint="eastAsia" w:ascii="Times New Roman" w:hAnsi="Times New Roman" w:eastAsia="黑体"/>
          <w:b w:val="0"/>
          <w:snapToGrid w:val="0"/>
          <w:kern w:val="0"/>
          <w:sz w:val="40"/>
          <w:szCs w:val="40"/>
          <w:lang w:eastAsia="en-US"/>
        </w:rPr>
        <w:t>结</w:t>
      </w:r>
      <w:r>
        <w:rPr>
          <w:rFonts w:hint="eastAsia" w:ascii="Times New Roman" w:hAnsi="Times New Roman" w:eastAsia="黑体"/>
          <w:b w:val="0"/>
          <w:snapToGrid w:val="0"/>
          <w:kern w:val="0"/>
          <w:sz w:val="40"/>
          <w:szCs w:val="40"/>
        </w:rPr>
        <w:t>构</w:t>
      </w:r>
    </w:p>
    <w:bookmarkEnd w:id="19"/>
    <w:p w14:paraId="364A2AA7">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b w:val="0"/>
          <w:snapToGrid w:val="0"/>
          <w:kern w:val="0"/>
          <w:sz w:val="40"/>
          <w:szCs w:val="40"/>
          <w:lang w:eastAsia="en-US"/>
        </w:rPr>
      </w:pPr>
    </w:p>
    <w:p w14:paraId="55CE9C97">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7.0.1 “平急两用”</w:t>
      </w:r>
      <w:bookmarkStart w:id="20" w:name="OLE_LINK2"/>
      <w:bookmarkStart w:id="21" w:name="OLE_LINK1"/>
      <w:r>
        <w:rPr>
          <w:rFonts w:hint="eastAsia" w:ascii="Times New Roman" w:hAnsi="Times New Roman" w:eastAsia="方正仿宋_GB2312" w:cs="Times New Roman"/>
          <w:b w:val="0"/>
          <w:bCs w:val="0"/>
          <w:color w:val="auto"/>
        </w:rPr>
        <w:t>应急医疗服务点</w:t>
      </w:r>
      <w:bookmarkEnd w:id="20"/>
      <w:bookmarkEnd w:id="21"/>
      <w:r>
        <w:rPr>
          <w:rFonts w:hint="eastAsia" w:ascii="Times New Roman" w:hAnsi="Times New Roman" w:eastAsia="方正仿宋_GB2312" w:cs="Times New Roman"/>
          <w:b w:val="0"/>
          <w:bCs w:val="0"/>
          <w:color w:val="auto"/>
        </w:rPr>
        <w:t>“平时”和“急时”的安全等级、抗震设防分类等应同时满足现行国家及地方标准要求。</w:t>
      </w:r>
    </w:p>
    <w:p w14:paraId="1FBEA78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 xml:space="preserve">7.0.2 </w:t>
      </w:r>
      <w:r>
        <w:rPr>
          <w:rFonts w:ascii="Times New Roman" w:hAnsi="Times New Roman" w:eastAsia="方正仿宋_GB2312" w:cs="Times New Roman"/>
          <w:b w:val="0"/>
          <w:bCs w:val="0"/>
          <w:color w:val="auto"/>
        </w:rPr>
        <w:t>“平急两用”</w:t>
      </w:r>
      <w:r>
        <w:rPr>
          <w:rFonts w:hint="eastAsia" w:ascii="Times New Roman" w:hAnsi="Times New Roman" w:eastAsia="方正仿宋_GB2312" w:cs="Times New Roman"/>
          <w:b w:val="0"/>
          <w:bCs w:val="0"/>
          <w:color w:val="auto"/>
        </w:rPr>
        <w:t>应急医疗服务点</w:t>
      </w:r>
      <w:r>
        <w:rPr>
          <w:rFonts w:ascii="Times New Roman" w:hAnsi="Times New Roman" w:eastAsia="方正仿宋_GB2312" w:cs="Times New Roman"/>
          <w:b w:val="0"/>
          <w:bCs w:val="0"/>
          <w:color w:val="auto"/>
        </w:rPr>
        <w:t>采用既有建筑时，应根据转换前后功能的要求，对建筑物的整体安全性进行检测评估。当存在无法满足改造要求的安全隐患时，该建筑不应作为“平急两用”</w:t>
      </w:r>
      <w:r>
        <w:rPr>
          <w:rFonts w:hint="eastAsia" w:ascii="Times New Roman" w:hAnsi="Times New Roman" w:eastAsia="方正仿宋_GB2312" w:cs="Times New Roman"/>
          <w:b w:val="0"/>
          <w:bCs w:val="0"/>
          <w:color w:val="auto"/>
        </w:rPr>
        <w:t>应急医疗服务点</w:t>
      </w:r>
      <w:r>
        <w:rPr>
          <w:rFonts w:ascii="Times New Roman" w:hAnsi="Times New Roman" w:eastAsia="方正仿宋_GB2312" w:cs="Times New Roman"/>
          <w:b w:val="0"/>
          <w:bCs w:val="0"/>
          <w:color w:val="auto"/>
        </w:rPr>
        <w:t>。</w:t>
      </w:r>
    </w:p>
    <w:p w14:paraId="021F364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7.0.3 既有建筑改造为“平急两用”应急医疗服务点，应选择结构状况良好的建筑，并遵循先检测、鉴定，后加固设计、施工与验收的流程。</w:t>
      </w:r>
    </w:p>
    <w:p w14:paraId="49AD073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7.0.4 既有建筑改造为“平急两用”应急医疗服务点,尽量不改变原结构的受力体系和构件受力状态，较重的设备宜布置在建筑底层，避免或减少对主体结构进行加固。</w:t>
      </w:r>
    </w:p>
    <w:p w14:paraId="51A936E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7.0.5 “急时”新增结构宜与原结构脱开，建筑基础</w:t>
      </w:r>
      <w:r>
        <w:rPr>
          <w:rFonts w:ascii="Times New Roman" w:hAnsi="Times New Roman" w:eastAsia="方正仿宋_GB2312" w:cs="Times New Roman"/>
          <w:b w:val="0"/>
          <w:bCs w:val="0"/>
          <w:color w:val="auto"/>
        </w:rPr>
        <w:t>宜采用天然基础，不应对原建筑结构安全造成影响。</w:t>
      </w:r>
    </w:p>
    <w:p w14:paraId="5A416DC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 xml:space="preserve">7.0.6 </w:t>
      </w:r>
      <w:r>
        <w:rPr>
          <w:rFonts w:ascii="Times New Roman" w:hAnsi="Times New Roman" w:eastAsia="方正仿宋_GB2312" w:cs="Times New Roman"/>
          <w:b w:val="0"/>
          <w:bCs w:val="0"/>
          <w:color w:val="auto"/>
        </w:rPr>
        <w:t>应按“平时”和“急时”两种使用功能确定荷载取值，并进行包络设计，充分考虑应急状态下功能转换对楼面结构荷载的要求，尽量减少平急转换中的结构主体改造。</w:t>
      </w:r>
    </w:p>
    <w:p w14:paraId="443BAAF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7.0.7 “急时”新增结构宜</w:t>
      </w:r>
      <w:r>
        <w:rPr>
          <w:rFonts w:ascii="Times New Roman" w:hAnsi="Times New Roman" w:eastAsia="方正仿宋_GB2312" w:cs="Times New Roman"/>
          <w:b w:val="0"/>
          <w:bCs w:val="0"/>
          <w:color w:val="auto"/>
        </w:rPr>
        <w:t>采用集装箱式模块化钢结构、钢框架、钢排架、门式刚架等轻型钢结构，方便快速加工、运输和安装；结构布置宜标准化、模块化。</w:t>
      </w:r>
    </w:p>
    <w:p w14:paraId="755F649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w:t>
      </w:r>
      <w:r>
        <w:rPr>
          <w:rFonts w:ascii="Times New Roman" w:hAnsi="Times New Roman" w:eastAsia="方正仿宋_GB2312" w:cs="Times New Roman"/>
          <w:b w:val="0"/>
          <w:bCs w:val="0"/>
          <w:color w:val="auto"/>
        </w:rPr>
        <w:t>8</w:t>
      </w:r>
      <w:r>
        <w:rPr>
          <w:rFonts w:hint="eastAsia" w:ascii="Times New Roman" w:hAnsi="Times New Roman" w:eastAsia="方正仿宋_GB2312" w:cs="Times New Roman"/>
          <w:b w:val="0"/>
          <w:bCs w:val="0"/>
          <w:color w:val="auto"/>
        </w:rPr>
        <w:t xml:space="preserve"> “急时”重型设备运输通道相关范围内的结构不满足设计要求时，应增设临时支撑设施。</w:t>
      </w:r>
    </w:p>
    <w:p w14:paraId="4B467D0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w:t>
      </w:r>
      <w:r>
        <w:rPr>
          <w:rFonts w:ascii="Times New Roman" w:hAnsi="Times New Roman" w:eastAsia="方正仿宋_GB2312" w:cs="Times New Roman"/>
          <w:b w:val="0"/>
          <w:bCs w:val="0"/>
          <w:color w:val="auto"/>
        </w:rPr>
        <w:t>9</w:t>
      </w:r>
      <w:r>
        <w:rPr>
          <w:rFonts w:hint="eastAsia" w:ascii="Times New Roman" w:hAnsi="Times New Roman" w:eastAsia="方正仿宋_GB2312" w:cs="Times New Roman"/>
          <w:b w:val="0"/>
          <w:bCs w:val="0"/>
          <w:color w:val="auto"/>
        </w:rPr>
        <w:t xml:space="preserve"> “急时”要搭建和安装的临时设施</w:t>
      </w:r>
      <w:r>
        <w:rPr>
          <w:rFonts w:ascii="Times New Roman" w:hAnsi="Times New Roman" w:eastAsia="方正仿宋_GB2312" w:cs="Times New Roman"/>
          <w:b w:val="0"/>
          <w:bCs w:val="0"/>
          <w:color w:val="auto"/>
        </w:rPr>
        <w:t>宜建在有硬化地坪的室外停车场上；或进行临时硬化，硬化层的厚度不宜小于200mm，混凝土的强度等级不宜小于C25，配置双向双层钢筋配筋率不小于0.15%。</w:t>
      </w:r>
      <w:r>
        <w:rPr>
          <w:rFonts w:hint="eastAsia" w:ascii="Times New Roman" w:hAnsi="Times New Roman" w:eastAsia="方正仿宋_GB2312" w:cs="Times New Roman"/>
          <w:b w:val="0"/>
          <w:bCs w:val="0"/>
          <w:color w:val="auto"/>
        </w:rPr>
        <w:t>周边场地内可配合机电专业预埋必要的管道沟、井。</w:t>
      </w:r>
    </w:p>
    <w:p w14:paraId="65A779C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7.0.1</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 xml:space="preserve"> “急时”可能受到污染的埋地检查井、预消毒池、消毒池、化粪池、污水池等的混凝土抗渗等级不应低于P8，最大裂缝宽度不宜大于0.2mm。</w:t>
      </w:r>
    </w:p>
    <w:p w14:paraId="71970CB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7.0.1</w:t>
      </w:r>
      <w:r>
        <w:rPr>
          <w:rFonts w:ascii="Times New Roman" w:hAnsi="Times New Roman" w:eastAsia="方正仿宋_GB2312" w:cs="Times New Roman"/>
          <w:b w:val="0"/>
          <w:bCs w:val="0"/>
          <w:color w:val="auto"/>
        </w:rPr>
        <w:t>1</w:t>
      </w:r>
      <w:r>
        <w:rPr>
          <w:rFonts w:hint="eastAsia" w:ascii="Times New Roman" w:hAnsi="Times New Roman" w:eastAsia="方正仿宋_GB2312" w:cs="Times New Roman"/>
          <w:b w:val="0"/>
          <w:bCs w:val="0"/>
          <w:color w:val="auto"/>
        </w:rPr>
        <w:t xml:space="preserve"> 平急转换改造应遵循安全可靠、转换便捷、易于恢复的原则。</w:t>
      </w:r>
    </w:p>
    <w:p w14:paraId="54B9A27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7.0.1</w:t>
      </w:r>
      <w:r>
        <w:rPr>
          <w:rFonts w:ascii="Times New Roman" w:hAnsi="Times New Roman" w:eastAsia="方正仿宋_GB2312" w:cs="Times New Roman"/>
          <w:b w:val="0"/>
          <w:bCs w:val="0"/>
          <w:color w:val="auto"/>
        </w:rPr>
        <w:t>2</w:t>
      </w:r>
      <w:r>
        <w:rPr>
          <w:rFonts w:hint="eastAsia" w:ascii="Times New Roman" w:hAnsi="Times New Roman" w:eastAsia="方正仿宋_GB2312" w:cs="Times New Roman"/>
          <w:b w:val="0"/>
          <w:bCs w:val="0"/>
          <w:color w:val="auto"/>
        </w:rPr>
        <w:t xml:space="preserve"> 平急转换改造应采用方便加工、运输、可快速拼装和拆卸的结构构件，减少或避免转换过程中的湿作业施工。</w:t>
      </w:r>
    </w:p>
    <w:p w14:paraId="0A91357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7.0.1</w:t>
      </w:r>
      <w:r>
        <w:rPr>
          <w:rFonts w:ascii="Times New Roman" w:hAnsi="Times New Roman" w:eastAsia="方正仿宋_GB2312" w:cs="Times New Roman"/>
          <w:b w:val="0"/>
          <w:bCs w:val="0"/>
          <w:color w:val="auto"/>
        </w:rPr>
        <w:t>3</w:t>
      </w:r>
      <w:r>
        <w:rPr>
          <w:rFonts w:hint="eastAsia" w:ascii="Times New Roman" w:hAnsi="Times New Roman" w:eastAsia="方正仿宋_GB2312" w:cs="Times New Roman"/>
          <w:b w:val="0"/>
          <w:bCs w:val="0"/>
          <w:color w:val="auto"/>
        </w:rPr>
        <w:t xml:space="preserve"> 平急转换改造新增的隔断应优先采用轻质隔断，其可变荷载考虑结构设计工作年限的荷载调整系数可取0.9；新增隔断应有可靠的节点连接方式和构造，节点连接方式宜便于现场拆装，连接构造应满足结构受力和变形要求。</w:t>
      </w:r>
    </w:p>
    <w:p w14:paraId="49371B3C">
      <w:pPr>
        <w:pStyle w:val="5"/>
        <w:keepNext w:val="0"/>
        <w:keepLines w:val="0"/>
        <w:kinsoku/>
        <w:topLinePunct/>
        <w:autoSpaceDE/>
        <w:autoSpaceDN/>
        <w:snapToGrid/>
        <w:spacing w:before="0" w:after="0" w:line="600" w:lineRule="exact"/>
        <w:contextualSpacing/>
        <w:jc w:val="both"/>
        <w:rPr>
          <w:rFonts w:ascii="宋体" w:hAnsi="宋体" w:eastAsia="宋体"/>
        </w:rPr>
      </w:pPr>
      <w:r>
        <w:rPr>
          <w:rFonts w:hint="eastAsia" w:ascii="Times New Roman" w:hAnsi="Times New Roman" w:eastAsia="方正仿宋_GB2312" w:cs="Times New Roman"/>
          <w:b w:val="0"/>
          <w:bCs w:val="0"/>
          <w:color w:val="auto"/>
        </w:rPr>
        <w:t>7.0.1</w:t>
      </w:r>
      <w:r>
        <w:rPr>
          <w:rFonts w:ascii="Times New Roman" w:hAnsi="Times New Roman" w:eastAsia="方正仿宋_GB2312" w:cs="Times New Roman"/>
          <w:b w:val="0"/>
          <w:bCs w:val="0"/>
          <w:color w:val="auto"/>
        </w:rPr>
        <w:t>4</w:t>
      </w:r>
      <w:r>
        <w:rPr>
          <w:rFonts w:hint="eastAsia" w:ascii="Times New Roman" w:hAnsi="Times New Roman" w:eastAsia="方正仿宋_GB2312" w:cs="Times New Roman"/>
          <w:b w:val="0"/>
          <w:bCs w:val="0"/>
          <w:color w:val="auto"/>
        </w:rPr>
        <w:t xml:space="preserve"> 陕西省宝鸡市位</w:t>
      </w:r>
      <w:r>
        <w:rPr>
          <w:rFonts w:ascii="Times New Roman" w:hAnsi="Times New Roman" w:eastAsia="方正仿宋_GB2312" w:cs="Times New Roman"/>
          <w:b w:val="0"/>
          <w:bCs w:val="0"/>
          <w:color w:val="auto"/>
        </w:rPr>
        <w:t>于高烈度设防地区和地震重点监视防御区的定点医疗机构应当按照国家有关规定采用隔震减震等技术，保证发生本区域设防地震时能够满足正常使用要求，性能目标宜符合《基于保持建筑正常使用功能的抗震技术导则》RISN-TG046的要求。</w:t>
      </w:r>
      <w:r>
        <w:rPr>
          <w:rFonts w:ascii="宋体" w:hAnsi="宋体" w:eastAsia="宋体"/>
        </w:rPr>
        <w:br w:type="page"/>
      </w:r>
    </w:p>
    <w:p w14:paraId="5EEFA59A">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b w:val="0"/>
          <w:snapToGrid w:val="0"/>
          <w:kern w:val="0"/>
          <w:sz w:val="40"/>
          <w:szCs w:val="40"/>
          <w:lang w:eastAsia="en-US"/>
        </w:rPr>
      </w:pPr>
      <w:bookmarkStart w:id="22" w:name="_Toc205393799"/>
      <w:r>
        <w:rPr>
          <w:rFonts w:hint="eastAsia" w:ascii="Times New Roman" w:hAnsi="Times New Roman" w:eastAsia="黑体"/>
          <w:b w:val="0"/>
          <w:snapToGrid w:val="0"/>
          <w:kern w:val="0"/>
          <w:sz w:val="40"/>
          <w:szCs w:val="40"/>
          <w:lang w:eastAsia="en-US"/>
        </w:rPr>
        <w:t>8</w:t>
      </w:r>
      <w:r>
        <w:rPr>
          <w:rFonts w:ascii="Times New Roman" w:hAnsi="Times New Roman" w:eastAsia="黑体"/>
          <w:b w:val="0"/>
          <w:snapToGrid w:val="0"/>
          <w:kern w:val="0"/>
          <w:sz w:val="40"/>
          <w:szCs w:val="40"/>
          <w:lang w:eastAsia="en-US"/>
        </w:rPr>
        <w:t xml:space="preserve"> </w:t>
      </w:r>
      <w:r>
        <w:rPr>
          <w:rFonts w:ascii="Times New Roman" w:hAnsi="Times New Roman" w:eastAsia="黑体"/>
          <w:b w:val="0"/>
          <w:snapToGrid w:val="0"/>
          <w:kern w:val="0"/>
          <w:sz w:val="40"/>
          <w:szCs w:val="40"/>
        </w:rPr>
        <w:t xml:space="preserve"> </w:t>
      </w:r>
      <w:r>
        <w:rPr>
          <w:rFonts w:hint="eastAsia" w:ascii="Times New Roman" w:hAnsi="Times New Roman" w:eastAsia="黑体"/>
          <w:b w:val="0"/>
          <w:snapToGrid w:val="0"/>
          <w:kern w:val="0"/>
          <w:sz w:val="40"/>
          <w:szCs w:val="40"/>
          <w:lang w:eastAsia="en-US"/>
        </w:rPr>
        <w:t>给排</w:t>
      </w:r>
      <w:r>
        <w:rPr>
          <w:rFonts w:hint="eastAsia" w:ascii="Times New Roman" w:hAnsi="Times New Roman" w:eastAsia="黑体"/>
          <w:b w:val="0"/>
          <w:snapToGrid w:val="0"/>
          <w:kern w:val="0"/>
          <w:sz w:val="40"/>
          <w:szCs w:val="40"/>
        </w:rPr>
        <w:t>水</w:t>
      </w:r>
    </w:p>
    <w:bookmarkEnd w:id="22"/>
    <w:p w14:paraId="666B5909">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b w:val="0"/>
          <w:snapToGrid w:val="0"/>
          <w:kern w:val="0"/>
          <w:sz w:val="40"/>
          <w:szCs w:val="40"/>
          <w:lang w:eastAsia="en-US"/>
        </w:rPr>
      </w:pPr>
    </w:p>
    <w:p w14:paraId="23BFF2E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8.0.1 “平急两用”生活给水水质应符合现行国家标准《生活饮用水水质卫生标准》GB5749的规定，并宜规划备用水源。</w:t>
      </w:r>
    </w:p>
    <w:p w14:paraId="5585921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8.0.2 医疗应急服务点的给水排水系统设计应采取平急结合的方式，按同时满足转换前后对供水、排水的需求设置。</w:t>
      </w:r>
    </w:p>
    <w:p w14:paraId="0C4369E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8.0.3 市政给水管的引入管应设置在清洁区，引入管上应设有倒流防止器等防水质污染的措施。病区给水引入总管上宜预留氯消毒设施投放接口。</w:t>
      </w:r>
    </w:p>
    <w:p w14:paraId="01DA194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8.0.4 生活给水蓄水池、水泵房、水处理和集中生活热水机房等应设置在清洁区，并宜预留应急增容空间；既有建筑改造宜在清洁区，如无法满足，需采取倒流防止器、断流水箱等可靠的防污染回流措施。</w:t>
      </w:r>
    </w:p>
    <w:p w14:paraId="25664A8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8.0.5 室内生活给水干管、阀门等应避免设置于非清洁区域，当条件限制不能避开时，应采取防护措施。</w:t>
      </w:r>
    </w:p>
    <w:p w14:paraId="153DEFE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8.0.6 医务人员生活给水用水定额，宜按现行国家标准《综合医院建筑设计规范》GB 51039 中规定值的1.2至1.3倍确定,患者的生活给水用水定额宜按该标准的1.1至1.2倍确定。</w:t>
      </w:r>
    </w:p>
    <w:p w14:paraId="5E9B39F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8.0.7 应预留储存应急期间水量及供水设备的条件。</w:t>
      </w:r>
    </w:p>
    <w:p w14:paraId="6E642383">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8.0.8 室内给水系统宜分区供水，污染区、潜在污染区的生活给水系统应选用断流水箱加增压水泵的供水方式。</w:t>
      </w:r>
    </w:p>
    <w:p w14:paraId="38D2227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8.0.9 生活给水系统应采取有效防止回流污染的措施，清洁区与潜在污染区和污染区的给水宜各自独立，当无法独立时，向潜在污染区和污染区供水的给水道上应当设置减压型倒流防止器，且倒流防止器应设在清洁区。</w:t>
      </w:r>
    </w:p>
    <w:p w14:paraId="3B55F17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8.0.10 需防止交叉感染场所的卫生器具应采用非手动开关，并应采取防止污水外溅的措施。</w:t>
      </w:r>
    </w:p>
    <w:p w14:paraId="554EEC0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8.0.11 卫生器具应具有防喷溅和防粘结的功能，材料应耐酸腐蚀，且不应采用具备吸附功能的材料。</w:t>
      </w:r>
    </w:p>
    <w:p w14:paraId="61CF7F5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8.0.12 新建项目的生活热水系统应采用集中供应闭式循环系统。既有建筑未设置集中热水供应系统时，可采用电热水器等集中或分散式的热水供应系统。</w:t>
      </w:r>
    </w:p>
    <w:p w14:paraId="46F1546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8.0.13 每个护理单元应单独设置饮用水供水点。当采用电加热时，每个护理单元应单独设置电开水器。</w:t>
      </w:r>
    </w:p>
    <w:p w14:paraId="4CFCBA8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8.0.14 排水管网、消毒和处理设施、提升泵站等均应实现在“急时”状态下产生的污废水全收集、全处理、全过程控制。</w:t>
      </w:r>
    </w:p>
    <w:p w14:paraId="3BAE2C8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8.0.15</w:t>
      </w:r>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场地内生活排水与雨水排水系统应采用分流制，并“三区”宜分别设置独立的排水管网；确有困难时同一性质传染病的潜在污染区和污染区管道可合并设置；不同性质传染病的污染区和潜在污染区管道应分别排至室外预消毒设施，进入消毒设施前不应合并或混接。</w:t>
      </w:r>
    </w:p>
    <w:p w14:paraId="3731F1F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8.0.16 各系统管道当穿越不同生物安全等级、清洁区、潜在污染区和污染区的功能区域时，不同分区处楼板、墙体应采取密封措施，防止不同空间的空气相互渗透，连通不同分区墙体上的开孔应采用强化密封措施，并应符合下列规定：</w:t>
      </w:r>
    </w:p>
    <w:p w14:paraId="207E259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w:t>
      </w:r>
      <w:r>
        <w:rPr>
          <w:rFonts w:ascii="Times New Roman" w:hAnsi="Times New Roman" w:eastAsia="方正仿宋_GB2312" w:cs="Times New Roman"/>
          <w:b w:val="0"/>
          <w:bCs w:val="0"/>
          <w:color w:val="auto"/>
        </w:rPr>
        <w:t>.0.16.1</w:t>
      </w:r>
      <w:r>
        <w:rPr>
          <w:rFonts w:hint="eastAsia" w:ascii="Times New Roman" w:hAnsi="Times New Roman" w:eastAsia="方正仿宋_GB2312" w:cs="Times New Roman"/>
          <w:b w:val="0"/>
          <w:bCs w:val="0"/>
          <w:color w:val="auto"/>
        </w:rPr>
        <w:t xml:space="preserve"> 管道穿越楼板和墙体处设置套管，实施密封；</w:t>
      </w:r>
    </w:p>
    <w:p w14:paraId="0CA7A41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w:t>
      </w:r>
      <w:r>
        <w:rPr>
          <w:rFonts w:ascii="Times New Roman" w:hAnsi="Times New Roman" w:eastAsia="方正仿宋_GB2312" w:cs="Times New Roman"/>
          <w:b w:val="0"/>
          <w:bCs w:val="0"/>
          <w:color w:val="auto"/>
        </w:rPr>
        <w:t>.0.16.2</w:t>
      </w:r>
      <w:r>
        <w:rPr>
          <w:rFonts w:hint="eastAsia" w:ascii="Times New Roman" w:hAnsi="Times New Roman" w:eastAsia="方正仿宋_GB2312" w:cs="Times New Roman"/>
          <w:b w:val="0"/>
          <w:bCs w:val="0"/>
          <w:color w:val="auto"/>
        </w:rPr>
        <w:t xml:space="preserve"> 管道与套管之间的缝隙应采用柔性材料填充密实。</w:t>
      </w:r>
    </w:p>
    <w:p w14:paraId="2B87518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8.0.17 排水系统应采取防止水封破坏的技术措施，并符合下列规定：</w:t>
      </w:r>
    </w:p>
    <w:p w14:paraId="208CBA8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w:t>
      </w:r>
      <w:r>
        <w:rPr>
          <w:rFonts w:ascii="Times New Roman" w:hAnsi="Times New Roman" w:eastAsia="方正仿宋_GB2312" w:cs="Times New Roman"/>
          <w:b w:val="0"/>
          <w:bCs w:val="0"/>
          <w:color w:val="auto"/>
        </w:rPr>
        <w:t>.0.17.1</w:t>
      </w:r>
      <w:r>
        <w:rPr>
          <w:rFonts w:hint="eastAsia" w:ascii="Times New Roman" w:hAnsi="Times New Roman" w:eastAsia="方正仿宋_GB2312" w:cs="Times New Roman"/>
          <w:b w:val="0"/>
          <w:bCs w:val="0"/>
          <w:color w:val="auto"/>
        </w:rPr>
        <w:t xml:space="preserve"> 排水立管的最大设计排水能力取值不应大于现行国家标准《建筑给水排水设计标准》GB 50015规定值的0.7倍；</w:t>
      </w:r>
    </w:p>
    <w:p w14:paraId="7242F06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w:t>
      </w:r>
      <w:r>
        <w:rPr>
          <w:rFonts w:ascii="Times New Roman" w:hAnsi="Times New Roman" w:eastAsia="方正仿宋_GB2312" w:cs="Times New Roman"/>
          <w:b w:val="0"/>
          <w:bCs w:val="0"/>
          <w:color w:val="auto"/>
        </w:rPr>
        <w:t>.0.17.2</w:t>
      </w:r>
      <w:r>
        <w:rPr>
          <w:rFonts w:hint="eastAsia" w:ascii="Times New Roman" w:hAnsi="Times New Roman" w:eastAsia="方正仿宋_GB2312" w:cs="Times New Roman"/>
          <w:b w:val="0"/>
          <w:bCs w:val="0"/>
          <w:color w:val="auto"/>
        </w:rPr>
        <w:t xml:space="preserve"> 地漏宜采用无水封地漏加P型存水弯，宜采用洗手盆排水给地漏水封补水的措施；不经常排水部位的排水管道及附件，应采取防止水封干涸的措施；</w:t>
      </w:r>
    </w:p>
    <w:p w14:paraId="0E9E190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w:t>
      </w:r>
      <w:r>
        <w:rPr>
          <w:rFonts w:ascii="Times New Roman" w:hAnsi="Times New Roman" w:eastAsia="方正仿宋_GB2312" w:cs="Times New Roman"/>
          <w:b w:val="0"/>
          <w:bCs w:val="0"/>
          <w:color w:val="auto"/>
        </w:rPr>
        <w:t>.0.17.3</w:t>
      </w:r>
      <w:r>
        <w:rPr>
          <w:rFonts w:hint="eastAsia" w:ascii="Times New Roman" w:hAnsi="Times New Roman" w:eastAsia="方正仿宋_GB2312" w:cs="Times New Roman"/>
          <w:b w:val="0"/>
          <w:bCs w:val="0"/>
          <w:color w:val="auto"/>
        </w:rPr>
        <w:t xml:space="preserve"> 存水弯水封高度不得小于50mm,且不得大于100mm。</w:t>
      </w:r>
    </w:p>
    <w:p w14:paraId="647338C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8.0.18 污染区、潜在污染区的排水系统通气管出口应预留安装空气净化消毒设施的条件，并在屋面以上高空或者远离人员活动区且通风良好的室外部位排放。</w:t>
      </w:r>
    </w:p>
    <w:p w14:paraId="01F87F0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8.0.19 污染区和潜在污染区的室外污水排水管道，在接入预消毒池之前应以全密闭方式敷设。</w:t>
      </w:r>
    </w:p>
    <w:p w14:paraId="49DB9CE7">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8.0.20 污染区、潜在污染区的空调冷凝水应采用间接排水方式，接入相应区域的污水管道。</w:t>
      </w:r>
    </w:p>
    <w:p w14:paraId="1C1D9D5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8.0.21 “急时”应在车辆出入口设冲洗和消毒设施，冲洗和消毒废水应排入污水系统。</w:t>
      </w:r>
    </w:p>
    <w:p w14:paraId="44ADEE4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8.0.22 污水处理“平时”应满足高效运行的要求，“急时”应满足不同病原体的处理要求。排水应经二级生化处理后方可排入市政污水管道，处理设施应密闭、耐腐蚀防渗漏，尾气统一收集消毒处理后排放。污水处理后的水质，应符合现行国家标准《医疗机构水污染物排放标准》GB 18466的有关规定。</w:t>
      </w:r>
    </w:p>
    <w:p w14:paraId="1380206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8.0.23 不得将固体传染性废物、各种化学废液倾倒入排水管网。未经消毒处理或处理未达到《污水排入城镇下水道水质标准》GB/T31962相关规定的医疗污水，严禁排入市政排水管网。</w:t>
      </w:r>
    </w:p>
    <w:p w14:paraId="2233A3E6">
      <w:pPr>
        <w:rPr>
          <w:rFonts w:ascii="宋体" w:hAnsi="宋体" w:eastAsia="宋体"/>
          <w:color w:val="000000"/>
          <w:sz w:val="28"/>
          <w:szCs w:val="28"/>
        </w:rPr>
      </w:pPr>
      <w:r>
        <w:rPr>
          <w:rFonts w:ascii="宋体" w:hAnsi="宋体" w:eastAsia="宋体"/>
          <w:color w:val="000000"/>
          <w:sz w:val="28"/>
          <w:szCs w:val="28"/>
        </w:rPr>
        <w:br w:type="page"/>
      </w:r>
    </w:p>
    <w:p w14:paraId="0038FD16">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b w:val="0"/>
          <w:snapToGrid w:val="0"/>
          <w:kern w:val="0"/>
          <w:sz w:val="40"/>
          <w:szCs w:val="40"/>
          <w:lang w:eastAsia="en-US"/>
        </w:rPr>
      </w:pPr>
      <w:bookmarkStart w:id="23" w:name="_Toc205393800"/>
      <w:r>
        <w:rPr>
          <w:rFonts w:hint="eastAsia" w:ascii="Times New Roman" w:hAnsi="Times New Roman" w:eastAsia="黑体"/>
          <w:b w:val="0"/>
          <w:snapToGrid w:val="0"/>
          <w:kern w:val="0"/>
          <w:sz w:val="40"/>
          <w:szCs w:val="40"/>
          <w:lang w:eastAsia="en-US"/>
        </w:rPr>
        <w:t>9</w:t>
      </w:r>
      <w:r>
        <w:rPr>
          <w:rFonts w:ascii="Times New Roman" w:hAnsi="Times New Roman" w:eastAsia="黑体"/>
          <w:b w:val="0"/>
          <w:snapToGrid w:val="0"/>
          <w:kern w:val="0"/>
          <w:sz w:val="40"/>
          <w:szCs w:val="40"/>
          <w:lang w:eastAsia="en-US"/>
        </w:rPr>
        <w:t xml:space="preserve">  </w:t>
      </w:r>
      <w:r>
        <w:rPr>
          <w:rFonts w:hint="eastAsia" w:ascii="Times New Roman" w:hAnsi="Times New Roman" w:eastAsia="黑体"/>
          <w:b w:val="0"/>
          <w:snapToGrid w:val="0"/>
          <w:kern w:val="0"/>
          <w:sz w:val="40"/>
          <w:szCs w:val="40"/>
          <w:lang w:eastAsia="en-US"/>
        </w:rPr>
        <w:t>供暖、通风与空</w:t>
      </w:r>
      <w:r>
        <w:rPr>
          <w:rFonts w:hint="eastAsia" w:ascii="Times New Roman" w:hAnsi="Times New Roman" w:eastAsia="黑体"/>
          <w:b w:val="0"/>
          <w:snapToGrid w:val="0"/>
          <w:kern w:val="0"/>
          <w:sz w:val="40"/>
          <w:szCs w:val="40"/>
        </w:rPr>
        <w:t>调</w:t>
      </w:r>
    </w:p>
    <w:bookmarkEnd w:id="23"/>
    <w:p w14:paraId="43C72942">
      <w:pPr>
        <w:pStyle w:val="3"/>
        <w:keepNext w:val="0"/>
        <w:keepLines w:val="0"/>
        <w:widowControl/>
        <w:topLinePunct/>
        <w:adjustRightInd w:val="0"/>
        <w:spacing w:before="0" w:after="0" w:line="580" w:lineRule="exact"/>
        <w:contextualSpacing/>
        <w:jc w:val="center"/>
        <w:textAlignment w:val="baseline"/>
        <w:rPr>
          <w:rFonts w:ascii="Times New Roman" w:hAnsi="Times New Roman" w:eastAsia="黑体"/>
          <w:b w:val="0"/>
          <w:snapToGrid w:val="0"/>
          <w:kern w:val="0"/>
          <w:sz w:val="40"/>
          <w:szCs w:val="40"/>
          <w:lang w:eastAsia="en-US"/>
        </w:rPr>
      </w:pPr>
      <w:r>
        <w:rPr>
          <w:rFonts w:hint="eastAsia" w:ascii="Times New Roman" w:hAnsi="Times New Roman" w:eastAsia="黑体"/>
          <w:b w:val="0"/>
          <w:snapToGrid w:val="0"/>
          <w:kern w:val="0"/>
          <w:sz w:val="40"/>
          <w:szCs w:val="40"/>
          <w:lang w:eastAsia="en-US"/>
        </w:rPr>
        <w:t xml:space="preserve"> </w:t>
      </w:r>
    </w:p>
    <w:p w14:paraId="0C2677B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9.0.1 “平急两用”医疗应急服务点各功能房间的温度、相对湿度等室内设计参数应满足国家现行标准《民用建筑供暖通风与空气调节设计规范》GB 50736、《综合医院建筑设计规范》GB 51039、《传染病医院建筑设计规范》GB 50849的相关规定。</w:t>
      </w:r>
    </w:p>
    <w:p w14:paraId="3ACB1E1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9.0.2 新建“平急两用”医疗应急服务点空调冷、热源应按“平时”使用配置；“平时”空调冷、热源不能满足“急时”需求时，需预留“急时”增加空调冷、热源的条件。</w:t>
      </w:r>
    </w:p>
    <w:p w14:paraId="1D4F23B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9.0.3 “平急两用”医疗应急服务点的污染区、潜在污染区和清洁区的机械送、排风系统应按照区域独立设置。</w:t>
      </w:r>
    </w:p>
    <w:p w14:paraId="0018F90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9.0.4 “平急两用”医疗应急服务点的通风、空调系统应当按“急时”启用期间的风量设计，并不宜低于表 9.0.4 规定：</w:t>
      </w:r>
    </w:p>
    <w:p w14:paraId="591605BD">
      <w:pPr>
        <w:pStyle w:val="5"/>
        <w:keepNext w:val="0"/>
        <w:keepLines w:val="0"/>
        <w:kinsoku/>
        <w:topLinePunct/>
        <w:autoSpaceDE/>
        <w:autoSpaceDN/>
        <w:snapToGrid/>
        <w:spacing w:before="0" w:after="0" w:line="560" w:lineRule="exact"/>
        <w:contextualSpacing/>
        <w:jc w:val="center"/>
        <w:rPr>
          <w:rFonts w:ascii="Times New Roman" w:hAnsi="Times New Roman" w:eastAsia="方正仿宋_GB2312" w:cs="Times New Roman"/>
          <w:bCs w:val="0"/>
          <w:color w:val="auto"/>
          <w:sz w:val="24"/>
          <w:szCs w:val="24"/>
        </w:rPr>
      </w:pPr>
      <w:r>
        <w:rPr>
          <w:rFonts w:ascii="Times New Roman" w:hAnsi="Times New Roman" w:eastAsia="方正仿宋_GB2312" w:cs="Times New Roman"/>
          <w:bCs w:val="0"/>
          <w:color w:val="auto"/>
          <w:sz w:val="24"/>
          <w:szCs w:val="24"/>
        </w:rPr>
        <w:t>表 9.0.4    主要用房室内空调、通风设计参数</w:t>
      </w:r>
    </w:p>
    <w:tbl>
      <w:tblPr>
        <w:tblStyle w:val="15"/>
        <w:tblW w:w="5138" w:type="pct"/>
        <w:tblInd w:w="0" w:type="dxa"/>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autofit"/>
        <w:tblCellMar>
          <w:top w:w="0" w:type="dxa"/>
          <w:left w:w="108" w:type="dxa"/>
          <w:bottom w:w="0" w:type="dxa"/>
          <w:right w:w="108" w:type="dxa"/>
        </w:tblCellMar>
      </w:tblPr>
      <w:tblGrid>
        <w:gridCol w:w="585"/>
        <w:gridCol w:w="825"/>
        <w:gridCol w:w="2843"/>
        <w:gridCol w:w="1063"/>
        <w:gridCol w:w="1144"/>
        <w:gridCol w:w="1110"/>
        <w:gridCol w:w="1187"/>
      </w:tblGrid>
      <w:tr w14:paraId="47DEC181">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6" w:hRule="atLeast"/>
          <w:tblHeader/>
        </w:trPr>
        <w:tc>
          <w:tcPr>
            <w:tcW w:w="334" w:type="pct"/>
            <w:vMerge w:val="restart"/>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3CE70418">
            <w:pPr>
              <w:jc w:val="center"/>
              <w:rPr>
                <w:rFonts w:ascii="方正仿宋_GB2312" w:hAnsi="方正仿宋_GB2312" w:eastAsia="方正仿宋_GB2312"/>
                <w:szCs w:val="21"/>
              </w:rPr>
            </w:pPr>
            <w:bookmarkStart w:id="24" w:name="_Hlk213401235"/>
            <w:r>
              <w:rPr>
                <w:rFonts w:ascii="方正仿宋_GB2312" w:hAnsi="方正仿宋_GB2312" w:eastAsia="方正仿宋_GB2312" w:cs="宋体"/>
                <w:color w:val="000000"/>
                <w:szCs w:val="21"/>
              </w:rPr>
              <w:t>序号</w:t>
            </w:r>
          </w:p>
        </w:tc>
        <w:tc>
          <w:tcPr>
            <w:tcW w:w="471" w:type="pct"/>
            <w:vMerge w:val="restart"/>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0594EB6F">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分区</w:t>
            </w:r>
          </w:p>
        </w:tc>
        <w:tc>
          <w:tcPr>
            <w:tcW w:w="1623" w:type="pct"/>
            <w:vMerge w:val="restart"/>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3D18A537">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房间名称</w:t>
            </w:r>
          </w:p>
        </w:tc>
        <w:tc>
          <w:tcPr>
            <w:tcW w:w="607" w:type="pct"/>
            <w:vMerge w:val="restart"/>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7587090B">
            <w:pPr>
              <w:ind w:left="-48" w:leftChars="-73" w:right="-105" w:rightChars="-50" w:hanging="105" w:hangingChars="50"/>
              <w:jc w:val="center"/>
              <w:rPr>
                <w:rFonts w:ascii="方正仿宋_GB2312" w:hAnsi="方正仿宋_GB2312" w:eastAsia="方正仿宋_GB2312"/>
                <w:szCs w:val="21"/>
              </w:rPr>
            </w:pPr>
            <w:r>
              <w:rPr>
                <w:rFonts w:ascii="方正仿宋_GB2312" w:hAnsi="方正仿宋_GB2312" w:eastAsia="方正仿宋_GB2312" w:cs="宋体"/>
                <w:color w:val="000000"/>
                <w:szCs w:val="21"/>
              </w:rPr>
              <w:t>与相邻房间静压差</w:t>
            </w:r>
          </w:p>
        </w:tc>
        <w:tc>
          <w:tcPr>
            <w:tcW w:w="1966" w:type="pct"/>
            <w:gridSpan w:val="3"/>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5872D192">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最小换气次数</w:t>
            </w:r>
          </w:p>
        </w:tc>
      </w:tr>
      <w:tr w14:paraId="657D2C38">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1" w:hRule="atLeast"/>
          <w:tblHeader/>
        </w:trPr>
        <w:tc>
          <w:tcPr>
            <w:tcW w:w="334" w:type="pct"/>
            <w:vMerge w:val="continue"/>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47B2482E">
            <w:pPr>
              <w:jc w:val="center"/>
              <w:rPr>
                <w:rFonts w:ascii="方正仿宋_GB2312" w:hAnsi="方正仿宋_GB2312" w:eastAsia="方正仿宋_GB2312"/>
                <w:szCs w:val="21"/>
              </w:rPr>
            </w:pPr>
          </w:p>
        </w:tc>
        <w:tc>
          <w:tcPr>
            <w:tcW w:w="471" w:type="pct"/>
            <w:vMerge w:val="continue"/>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1D87F025">
            <w:pPr>
              <w:jc w:val="center"/>
              <w:rPr>
                <w:rFonts w:ascii="方正仿宋_GB2312" w:hAnsi="方正仿宋_GB2312" w:eastAsia="方正仿宋_GB2312"/>
                <w:szCs w:val="21"/>
              </w:rPr>
            </w:pPr>
          </w:p>
        </w:tc>
        <w:tc>
          <w:tcPr>
            <w:tcW w:w="1623" w:type="pct"/>
            <w:vMerge w:val="continue"/>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03147058">
            <w:pPr>
              <w:jc w:val="center"/>
              <w:rPr>
                <w:rFonts w:ascii="方正仿宋_GB2312" w:hAnsi="方正仿宋_GB2312" w:eastAsia="方正仿宋_GB2312"/>
                <w:szCs w:val="21"/>
              </w:rPr>
            </w:pPr>
          </w:p>
        </w:tc>
        <w:tc>
          <w:tcPr>
            <w:tcW w:w="607" w:type="pct"/>
            <w:vMerge w:val="continue"/>
            <w:tcBorders>
              <w:top w:val="single" w:color="000000" w:sz="8" w:space="0"/>
              <w:left w:val="single" w:color="000000" w:sz="8" w:space="0"/>
              <w:bottom w:val="single" w:color="auto" w:sz="4" w:space="0"/>
              <w:right w:val="single" w:color="000000" w:sz="8" w:space="0"/>
            </w:tcBorders>
            <w:tcMar>
              <w:top w:w="0" w:type="dxa"/>
              <w:left w:w="108" w:type="dxa"/>
              <w:bottom w:w="0" w:type="dxa"/>
              <w:right w:w="108" w:type="dxa"/>
            </w:tcMar>
            <w:vAlign w:val="center"/>
          </w:tcPr>
          <w:p w14:paraId="42269C96">
            <w:pPr>
              <w:jc w:val="center"/>
              <w:rPr>
                <w:rFonts w:ascii="方正仿宋_GB2312" w:hAnsi="方正仿宋_GB2312" w:eastAsia="方正仿宋_GB2312"/>
                <w:szCs w:val="21"/>
              </w:rPr>
            </w:pPr>
          </w:p>
        </w:tc>
        <w:tc>
          <w:tcPr>
            <w:tcW w:w="653" w:type="pct"/>
            <w:tcBorders>
              <w:top w:val="single" w:color="000000" w:sz="0" w:space="0"/>
              <w:left w:val="single" w:color="000000" w:sz="8" w:space="0"/>
              <w:bottom w:val="single" w:color="auto" w:sz="4" w:space="0"/>
              <w:right w:val="single" w:color="000000" w:sz="8" w:space="0"/>
            </w:tcBorders>
            <w:tcMar>
              <w:top w:w="0" w:type="dxa"/>
              <w:left w:w="108" w:type="dxa"/>
              <w:bottom w:w="0" w:type="dxa"/>
              <w:right w:w="108" w:type="dxa"/>
            </w:tcMar>
            <w:vAlign w:val="center"/>
          </w:tcPr>
          <w:p w14:paraId="5E51FE4F">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新风次/h</w:t>
            </w:r>
          </w:p>
        </w:tc>
        <w:tc>
          <w:tcPr>
            <w:tcW w:w="634" w:type="pct"/>
            <w:tcBorders>
              <w:top w:val="single" w:color="000000" w:sz="8" w:space="0"/>
              <w:left w:val="single" w:color="000000" w:sz="8" w:space="0"/>
              <w:bottom w:val="single" w:color="auto" w:sz="4" w:space="0"/>
              <w:right w:val="single" w:color="000000" w:sz="8" w:space="0"/>
            </w:tcBorders>
            <w:tcMar>
              <w:top w:w="0" w:type="dxa"/>
              <w:left w:w="108" w:type="dxa"/>
              <w:bottom w:w="0" w:type="dxa"/>
              <w:right w:w="108" w:type="dxa"/>
            </w:tcMar>
            <w:vAlign w:val="center"/>
          </w:tcPr>
          <w:p w14:paraId="0A96090D">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送风次/h</w:t>
            </w:r>
          </w:p>
        </w:tc>
        <w:tc>
          <w:tcPr>
            <w:tcW w:w="679" w:type="pct"/>
            <w:tcBorders>
              <w:top w:val="single" w:color="000000" w:sz="8" w:space="0"/>
              <w:left w:val="single" w:color="000000" w:sz="8" w:space="0"/>
              <w:bottom w:val="single" w:color="auto" w:sz="4" w:space="0"/>
              <w:right w:val="single" w:color="000000" w:sz="8" w:space="0"/>
            </w:tcBorders>
            <w:tcMar>
              <w:top w:w="0" w:type="dxa"/>
              <w:left w:w="108" w:type="dxa"/>
              <w:bottom w:w="0" w:type="dxa"/>
              <w:right w:w="108" w:type="dxa"/>
            </w:tcMar>
            <w:vAlign w:val="center"/>
          </w:tcPr>
          <w:p w14:paraId="38E5DDDD">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排风次/h</w:t>
            </w:r>
          </w:p>
        </w:tc>
      </w:tr>
      <w:bookmarkEnd w:id="24"/>
      <w:tr w14:paraId="26E07D50">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222" w:hRule="atLeast"/>
          <w:tblHeader/>
        </w:trPr>
        <w:tc>
          <w:tcPr>
            <w:tcW w:w="334" w:type="pct"/>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4AC648A9">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1</w:t>
            </w:r>
          </w:p>
        </w:tc>
        <w:tc>
          <w:tcPr>
            <w:tcW w:w="471" w:type="pct"/>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33DE6040">
            <w:pPr>
              <w:ind w:leftChars="-28" w:right="-63" w:rightChars="-30" w:hanging="58" w:hangingChars="28"/>
              <w:jc w:val="center"/>
              <w:rPr>
                <w:rFonts w:ascii="方正仿宋_GB2312" w:hAnsi="方正仿宋_GB2312" w:eastAsia="方正仿宋_GB2312"/>
                <w:szCs w:val="21"/>
              </w:rPr>
            </w:pPr>
            <w:r>
              <w:rPr>
                <w:rFonts w:ascii="方正仿宋_GB2312" w:hAnsi="方正仿宋_GB2312" w:eastAsia="方正仿宋_GB2312" w:cs="宋体"/>
                <w:color w:val="000000"/>
                <w:szCs w:val="21"/>
              </w:rPr>
              <w:t>清洁区</w:t>
            </w:r>
          </w:p>
        </w:tc>
        <w:tc>
          <w:tcPr>
            <w:tcW w:w="1623" w:type="pct"/>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751F3D74">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医生办公室、值班室、会议室及其他</w:t>
            </w:r>
          </w:p>
        </w:tc>
        <w:tc>
          <w:tcPr>
            <w:tcW w:w="607" w:type="pct"/>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4A8592E9">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正压</w:t>
            </w:r>
          </w:p>
        </w:tc>
        <w:tc>
          <w:tcPr>
            <w:tcW w:w="653" w:type="pct"/>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0161D395">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3</w:t>
            </w:r>
          </w:p>
        </w:tc>
        <w:tc>
          <w:tcPr>
            <w:tcW w:w="634" w:type="pct"/>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20FEB3ED">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w:t>
            </w:r>
          </w:p>
        </w:tc>
        <w:tc>
          <w:tcPr>
            <w:tcW w:w="679" w:type="pct"/>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664958CC">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A</w:t>
            </w:r>
          </w:p>
        </w:tc>
      </w:tr>
      <w:tr w14:paraId="4DF52031">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29" w:hRule="atLeast"/>
          <w:tblHeader/>
        </w:trPr>
        <w:tc>
          <w:tcPr>
            <w:tcW w:w="334" w:type="pct"/>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0D343723">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2</w:t>
            </w:r>
          </w:p>
        </w:tc>
        <w:tc>
          <w:tcPr>
            <w:tcW w:w="471" w:type="pct"/>
            <w:tcBorders>
              <w:top w:val="single" w:color="000000" w:sz="0" w:space="0"/>
              <w:left w:val="single" w:color="000000" w:sz="8" w:space="0"/>
              <w:bottom w:val="single" w:color="auto" w:sz="4" w:space="0"/>
              <w:right w:val="single" w:color="000000" w:sz="8" w:space="0"/>
            </w:tcBorders>
            <w:tcMar>
              <w:top w:w="0" w:type="dxa"/>
              <w:left w:w="108" w:type="dxa"/>
              <w:bottom w:w="0" w:type="dxa"/>
              <w:right w:w="108" w:type="dxa"/>
            </w:tcMar>
            <w:vAlign w:val="center"/>
          </w:tcPr>
          <w:p w14:paraId="273401B9">
            <w:pPr>
              <w:spacing w:line="300" w:lineRule="exact"/>
              <w:ind w:leftChars="-28" w:right="-63" w:rightChars="-30" w:hanging="58" w:hangingChars="28"/>
              <w:jc w:val="center"/>
              <w:rPr>
                <w:rFonts w:ascii="方正仿宋_GB2312" w:hAnsi="方正仿宋_GB2312" w:eastAsia="方正仿宋_GB2312"/>
                <w:szCs w:val="21"/>
              </w:rPr>
            </w:pPr>
            <w:r>
              <w:rPr>
                <w:rFonts w:ascii="方正仿宋_GB2312" w:hAnsi="方正仿宋_GB2312" w:eastAsia="方正仿宋_GB2312" w:cs="宋体"/>
                <w:color w:val="000000"/>
                <w:szCs w:val="21"/>
              </w:rPr>
              <w:t>潜在污染区</w:t>
            </w:r>
          </w:p>
        </w:tc>
        <w:tc>
          <w:tcPr>
            <w:tcW w:w="1623" w:type="pct"/>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1132DF0A">
            <w:pPr>
              <w:spacing w:line="300" w:lineRule="exact"/>
              <w:ind w:left="-28"/>
              <w:jc w:val="center"/>
              <w:rPr>
                <w:rFonts w:ascii="方正仿宋_GB2312" w:hAnsi="方正仿宋_GB2312" w:eastAsia="方正仿宋_GB2312"/>
                <w:szCs w:val="21"/>
              </w:rPr>
            </w:pPr>
            <w:r>
              <w:rPr>
                <w:rFonts w:ascii="方正仿宋_GB2312" w:hAnsi="方正仿宋_GB2312" w:eastAsia="方正仿宋_GB2312" w:cs="宋体"/>
                <w:color w:val="000000"/>
                <w:szCs w:val="21"/>
              </w:rPr>
              <w:t>治疗准备室、缓冲间、更衣通过</w:t>
            </w:r>
          </w:p>
        </w:tc>
        <w:tc>
          <w:tcPr>
            <w:tcW w:w="607" w:type="pct"/>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67A34B63">
            <w:pPr>
              <w:spacing w:line="300" w:lineRule="exact"/>
              <w:ind w:left="-28"/>
              <w:jc w:val="center"/>
              <w:rPr>
                <w:rFonts w:ascii="方正仿宋_GB2312" w:hAnsi="方正仿宋_GB2312" w:eastAsia="方正仿宋_GB2312"/>
                <w:szCs w:val="21"/>
              </w:rPr>
            </w:pPr>
            <w:r>
              <w:rPr>
                <w:rFonts w:ascii="方正仿宋_GB2312" w:hAnsi="方正仿宋_GB2312" w:eastAsia="方正仿宋_GB2312" w:cs="宋体"/>
                <w:color w:val="000000"/>
                <w:szCs w:val="21"/>
              </w:rPr>
              <w:t>负压</w:t>
            </w:r>
          </w:p>
        </w:tc>
        <w:tc>
          <w:tcPr>
            <w:tcW w:w="653" w:type="pct"/>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7E8FFD1D">
            <w:pPr>
              <w:spacing w:line="300" w:lineRule="exact"/>
              <w:ind w:left="-28"/>
              <w:jc w:val="center"/>
              <w:rPr>
                <w:rFonts w:ascii="方正仿宋_GB2312" w:hAnsi="方正仿宋_GB2312" w:eastAsia="方正仿宋_GB2312"/>
                <w:szCs w:val="21"/>
              </w:rPr>
            </w:pPr>
            <w:r>
              <w:rPr>
                <w:rFonts w:ascii="方正仿宋_GB2312" w:hAnsi="方正仿宋_GB2312" w:eastAsia="方正仿宋_GB2312" w:cs="宋体"/>
                <w:color w:val="000000"/>
                <w:szCs w:val="21"/>
              </w:rPr>
              <w:t>6</w:t>
            </w:r>
          </w:p>
        </w:tc>
        <w:tc>
          <w:tcPr>
            <w:tcW w:w="634" w:type="pct"/>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74EE2DCE">
            <w:pPr>
              <w:spacing w:line="300" w:lineRule="exact"/>
              <w:ind w:left="-28"/>
              <w:jc w:val="center"/>
              <w:rPr>
                <w:rFonts w:ascii="方正仿宋_GB2312" w:hAnsi="方正仿宋_GB2312" w:eastAsia="方正仿宋_GB2312"/>
                <w:szCs w:val="21"/>
              </w:rPr>
            </w:pPr>
            <w:r>
              <w:rPr>
                <w:rFonts w:ascii="方正仿宋_GB2312" w:hAnsi="方正仿宋_GB2312" w:eastAsia="方正仿宋_GB2312" w:cs="宋体"/>
                <w:color w:val="000000"/>
                <w:szCs w:val="21"/>
              </w:rPr>
              <w:t>/</w:t>
            </w:r>
          </w:p>
        </w:tc>
        <w:tc>
          <w:tcPr>
            <w:tcW w:w="679" w:type="pct"/>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334A8C4C">
            <w:pPr>
              <w:spacing w:line="300" w:lineRule="exact"/>
              <w:ind w:left="-28"/>
              <w:jc w:val="center"/>
              <w:rPr>
                <w:rFonts w:ascii="方正仿宋_GB2312" w:hAnsi="方正仿宋_GB2312" w:eastAsia="方正仿宋_GB2312"/>
                <w:szCs w:val="21"/>
              </w:rPr>
            </w:pPr>
            <w:r>
              <w:rPr>
                <w:rFonts w:ascii="方正仿宋_GB2312" w:hAnsi="方正仿宋_GB2312" w:eastAsia="方正仿宋_GB2312" w:cs="宋体"/>
                <w:color w:val="000000"/>
                <w:szCs w:val="21"/>
              </w:rPr>
              <w:t>≥20</w:t>
            </w:r>
          </w:p>
        </w:tc>
      </w:tr>
      <w:tr w14:paraId="2691263D">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blHeader/>
        </w:trPr>
        <w:tc>
          <w:tcPr>
            <w:tcW w:w="334" w:type="pct"/>
            <w:tcBorders>
              <w:top w:val="single" w:color="000000" w:sz="0" w:space="0"/>
              <w:left w:val="single" w:color="000000" w:sz="8" w:space="0"/>
              <w:bottom w:val="single" w:color="000000" w:sz="8" w:space="0"/>
              <w:right w:val="single" w:color="auto" w:sz="4" w:space="0"/>
            </w:tcBorders>
            <w:tcMar>
              <w:top w:w="0" w:type="dxa"/>
              <w:left w:w="108" w:type="dxa"/>
              <w:bottom w:w="0" w:type="dxa"/>
              <w:right w:w="108" w:type="dxa"/>
            </w:tcMar>
            <w:vAlign w:val="center"/>
          </w:tcPr>
          <w:p w14:paraId="4FE0D6CF">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3</w:t>
            </w:r>
          </w:p>
        </w:tc>
        <w:tc>
          <w:tcPr>
            <w:tcW w:w="471" w:type="pct"/>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F9DA953">
            <w:pPr>
              <w:ind w:leftChars="-28" w:right="-63" w:rightChars="-30" w:hanging="58" w:hangingChars="28"/>
              <w:jc w:val="center"/>
              <w:rPr>
                <w:rFonts w:ascii="方正仿宋_GB2312" w:hAnsi="方正仿宋_GB2312" w:eastAsia="方正仿宋_GB2312"/>
                <w:szCs w:val="21"/>
              </w:rPr>
            </w:pPr>
            <w:r>
              <w:rPr>
                <w:rFonts w:hint="eastAsia" w:ascii="方正仿宋_GB2312" w:hAnsi="方正仿宋_GB2312" w:eastAsia="方正仿宋_GB2312"/>
                <w:szCs w:val="21"/>
              </w:rPr>
              <w:t>污染区</w:t>
            </w:r>
          </w:p>
        </w:tc>
        <w:tc>
          <w:tcPr>
            <w:tcW w:w="1623" w:type="pct"/>
            <w:tcBorders>
              <w:top w:val="single" w:color="000000" w:sz="0" w:space="0"/>
              <w:left w:val="single" w:color="auto" w:sz="4" w:space="0"/>
              <w:bottom w:val="single" w:color="000000" w:sz="8" w:space="0"/>
              <w:right w:val="single" w:color="000000" w:sz="8" w:space="0"/>
            </w:tcBorders>
            <w:tcMar>
              <w:top w:w="0" w:type="dxa"/>
              <w:left w:w="108" w:type="dxa"/>
              <w:bottom w:w="0" w:type="dxa"/>
              <w:right w:w="108" w:type="dxa"/>
            </w:tcMar>
            <w:vAlign w:val="center"/>
          </w:tcPr>
          <w:p w14:paraId="5E75C518">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隔离留观、诊室、处置室</w:t>
            </w:r>
          </w:p>
        </w:tc>
        <w:tc>
          <w:tcPr>
            <w:tcW w:w="607" w:type="pct"/>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671711F1">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负压</w:t>
            </w:r>
          </w:p>
        </w:tc>
        <w:tc>
          <w:tcPr>
            <w:tcW w:w="653" w:type="pct"/>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7B183DCA">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6</w:t>
            </w:r>
          </w:p>
        </w:tc>
        <w:tc>
          <w:tcPr>
            <w:tcW w:w="634" w:type="pct"/>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6C075628">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w:t>
            </w:r>
          </w:p>
        </w:tc>
        <w:tc>
          <w:tcPr>
            <w:tcW w:w="679" w:type="pct"/>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70812C66">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A</w:t>
            </w:r>
          </w:p>
        </w:tc>
      </w:tr>
      <w:tr w14:paraId="3F3DE6EC">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blHeader/>
        </w:trPr>
        <w:tc>
          <w:tcPr>
            <w:tcW w:w="334" w:type="pct"/>
            <w:tcBorders>
              <w:top w:val="single" w:color="000000" w:sz="0" w:space="0"/>
              <w:left w:val="single" w:color="000000" w:sz="8" w:space="0"/>
              <w:bottom w:val="single" w:color="000000" w:sz="8" w:space="0"/>
              <w:right w:val="single" w:color="auto" w:sz="4" w:space="0"/>
            </w:tcBorders>
            <w:tcMar>
              <w:top w:w="0" w:type="dxa"/>
              <w:left w:w="108" w:type="dxa"/>
              <w:bottom w:w="0" w:type="dxa"/>
              <w:right w:w="108" w:type="dxa"/>
            </w:tcMar>
            <w:vAlign w:val="center"/>
          </w:tcPr>
          <w:p w14:paraId="2974BC44">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4</w:t>
            </w:r>
          </w:p>
        </w:tc>
        <w:tc>
          <w:tcPr>
            <w:tcW w:w="471" w:type="pct"/>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E6748D4">
            <w:pPr>
              <w:ind w:leftChars="-28" w:right="-63" w:rightChars="-30" w:hanging="58" w:hangingChars="28"/>
              <w:jc w:val="center"/>
              <w:rPr>
                <w:rFonts w:ascii="方正仿宋_GB2312" w:hAnsi="方正仿宋_GB2312" w:eastAsia="方正仿宋_GB2312"/>
                <w:szCs w:val="21"/>
              </w:rPr>
            </w:pPr>
          </w:p>
        </w:tc>
        <w:tc>
          <w:tcPr>
            <w:tcW w:w="1623" w:type="pct"/>
            <w:tcBorders>
              <w:top w:val="single" w:color="000000" w:sz="0" w:space="0"/>
              <w:left w:val="single" w:color="auto" w:sz="4" w:space="0"/>
              <w:bottom w:val="single" w:color="000000" w:sz="8" w:space="0"/>
              <w:right w:val="single" w:color="000000" w:sz="8" w:space="0"/>
            </w:tcBorders>
            <w:tcMar>
              <w:top w:w="0" w:type="dxa"/>
              <w:left w:w="108" w:type="dxa"/>
              <w:bottom w:w="0" w:type="dxa"/>
              <w:right w:w="108" w:type="dxa"/>
            </w:tcMar>
            <w:vAlign w:val="center"/>
          </w:tcPr>
          <w:p w14:paraId="5B61DBD5">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“急时”病房及其配套区域</w:t>
            </w:r>
          </w:p>
        </w:tc>
        <w:tc>
          <w:tcPr>
            <w:tcW w:w="607" w:type="pct"/>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543B6D18">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负压</w:t>
            </w:r>
          </w:p>
        </w:tc>
        <w:tc>
          <w:tcPr>
            <w:tcW w:w="653" w:type="pct"/>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06D50F15">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6</w:t>
            </w:r>
          </w:p>
        </w:tc>
        <w:tc>
          <w:tcPr>
            <w:tcW w:w="634" w:type="pct"/>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36B0588B">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w:t>
            </w:r>
          </w:p>
        </w:tc>
        <w:tc>
          <w:tcPr>
            <w:tcW w:w="679" w:type="pct"/>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2641A404">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A</w:t>
            </w:r>
          </w:p>
        </w:tc>
      </w:tr>
      <w:tr w14:paraId="0776F174">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blHeader/>
        </w:trPr>
        <w:tc>
          <w:tcPr>
            <w:tcW w:w="334" w:type="pct"/>
            <w:tcBorders>
              <w:top w:val="single" w:color="000000" w:sz="0" w:space="0"/>
              <w:left w:val="single" w:color="000000" w:sz="8" w:space="0"/>
              <w:bottom w:val="single" w:color="000000" w:sz="8" w:space="0"/>
              <w:right w:val="single" w:color="auto" w:sz="4" w:space="0"/>
            </w:tcBorders>
            <w:tcMar>
              <w:top w:w="0" w:type="dxa"/>
              <w:left w:w="108" w:type="dxa"/>
              <w:bottom w:w="0" w:type="dxa"/>
              <w:right w:w="108" w:type="dxa"/>
            </w:tcMar>
            <w:vAlign w:val="center"/>
          </w:tcPr>
          <w:p w14:paraId="62ED3649">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5</w:t>
            </w:r>
          </w:p>
        </w:tc>
        <w:tc>
          <w:tcPr>
            <w:tcW w:w="471" w:type="pct"/>
            <w:vMerge w:val="restart"/>
            <w:tcBorders>
              <w:top w:val="single" w:color="auto" w:sz="4" w:space="0"/>
              <w:left w:val="single" w:color="auto" w:sz="4" w:space="0"/>
              <w:right w:val="single" w:color="auto" w:sz="4" w:space="0"/>
            </w:tcBorders>
            <w:tcMar>
              <w:top w:w="0" w:type="dxa"/>
              <w:left w:w="108" w:type="dxa"/>
              <w:bottom w:w="0" w:type="dxa"/>
              <w:right w:w="108" w:type="dxa"/>
            </w:tcMar>
            <w:vAlign w:val="center"/>
          </w:tcPr>
          <w:p w14:paraId="414889DA">
            <w:pPr>
              <w:ind w:leftChars="-28" w:right="-63" w:rightChars="-30" w:hanging="58" w:hangingChars="28"/>
              <w:jc w:val="center"/>
              <w:rPr>
                <w:rFonts w:ascii="方正仿宋_GB2312" w:hAnsi="方正仿宋_GB2312" w:eastAsia="方正仿宋_GB2312"/>
                <w:szCs w:val="21"/>
              </w:rPr>
            </w:pPr>
            <w:r>
              <w:rPr>
                <w:rFonts w:hint="eastAsia" w:ascii="方正仿宋_GB2312" w:hAnsi="方正仿宋_GB2312" w:eastAsia="方正仿宋_GB2312"/>
                <w:szCs w:val="21"/>
              </w:rPr>
              <w:t>污染区</w:t>
            </w:r>
          </w:p>
        </w:tc>
        <w:tc>
          <w:tcPr>
            <w:tcW w:w="1623" w:type="pct"/>
            <w:tcBorders>
              <w:top w:val="single" w:color="000000" w:sz="0" w:space="0"/>
              <w:left w:val="single" w:color="auto" w:sz="4" w:space="0"/>
              <w:bottom w:val="single" w:color="000000" w:sz="8" w:space="0"/>
              <w:right w:val="single" w:color="000000" w:sz="8" w:space="0"/>
            </w:tcBorders>
            <w:tcMar>
              <w:top w:w="0" w:type="dxa"/>
              <w:left w:w="108" w:type="dxa"/>
              <w:bottom w:w="0" w:type="dxa"/>
              <w:right w:w="108" w:type="dxa"/>
            </w:tcMar>
            <w:vAlign w:val="center"/>
          </w:tcPr>
          <w:p w14:paraId="16DD494A">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“急时”负压隔离病房</w:t>
            </w:r>
          </w:p>
        </w:tc>
        <w:tc>
          <w:tcPr>
            <w:tcW w:w="607" w:type="pct"/>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42514E3C">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负压</w:t>
            </w:r>
          </w:p>
        </w:tc>
        <w:tc>
          <w:tcPr>
            <w:tcW w:w="653" w:type="pct"/>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44333009">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12</w:t>
            </w:r>
          </w:p>
        </w:tc>
        <w:tc>
          <w:tcPr>
            <w:tcW w:w="634" w:type="pct"/>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7AC693BF">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12</w:t>
            </w:r>
          </w:p>
        </w:tc>
        <w:tc>
          <w:tcPr>
            <w:tcW w:w="679" w:type="pct"/>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51B77E59">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MAX(15/B)</w:t>
            </w:r>
          </w:p>
        </w:tc>
      </w:tr>
      <w:tr w14:paraId="1CA126B9">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46" w:hRule="atLeast"/>
          <w:tblHeader/>
        </w:trPr>
        <w:tc>
          <w:tcPr>
            <w:tcW w:w="334" w:type="pct"/>
            <w:tcBorders>
              <w:top w:val="single" w:color="000000" w:sz="0" w:space="0"/>
              <w:left w:val="single" w:color="000000" w:sz="8" w:space="0"/>
              <w:bottom w:val="single" w:color="000000" w:sz="8" w:space="0"/>
              <w:right w:val="single" w:color="auto" w:sz="4" w:space="0"/>
            </w:tcBorders>
            <w:tcMar>
              <w:top w:w="0" w:type="dxa"/>
              <w:left w:w="108" w:type="dxa"/>
              <w:bottom w:w="0" w:type="dxa"/>
              <w:right w:w="108" w:type="dxa"/>
            </w:tcMar>
            <w:vAlign w:val="center"/>
          </w:tcPr>
          <w:p w14:paraId="7919AFCD">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6</w:t>
            </w:r>
          </w:p>
        </w:tc>
        <w:tc>
          <w:tcPr>
            <w:tcW w:w="471" w:type="pct"/>
            <w:vMerge w:val="continue"/>
            <w:tcBorders>
              <w:left w:val="single" w:color="auto" w:sz="4" w:space="0"/>
              <w:bottom w:val="single" w:color="auto" w:sz="4" w:space="0"/>
              <w:right w:val="single" w:color="auto" w:sz="4" w:space="0"/>
            </w:tcBorders>
            <w:tcMar>
              <w:top w:w="0" w:type="dxa"/>
              <w:left w:w="108" w:type="dxa"/>
              <w:bottom w:w="0" w:type="dxa"/>
              <w:right w:w="108" w:type="dxa"/>
            </w:tcMar>
            <w:vAlign w:val="center"/>
          </w:tcPr>
          <w:p w14:paraId="697A424F">
            <w:pPr>
              <w:jc w:val="center"/>
              <w:rPr>
                <w:rFonts w:ascii="方正仿宋_GB2312" w:hAnsi="方正仿宋_GB2312" w:eastAsia="方正仿宋_GB2312"/>
                <w:szCs w:val="21"/>
              </w:rPr>
            </w:pPr>
          </w:p>
        </w:tc>
        <w:tc>
          <w:tcPr>
            <w:tcW w:w="1623" w:type="pct"/>
            <w:tcBorders>
              <w:top w:val="single" w:color="000000" w:sz="0" w:space="0"/>
              <w:left w:val="single" w:color="auto" w:sz="4" w:space="0"/>
              <w:bottom w:val="single" w:color="000000" w:sz="8" w:space="0"/>
              <w:right w:val="single" w:color="000000" w:sz="8" w:space="0"/>
            </w:tcBorders>
            <w:tcMar>
              <w:top w:w="0" w:type="dxa"/>
              <w:left w:w="108" w:type="dxa"/>
              <w:bottom w:w="0" w:type="dxa"/>
              <w:right w:w="108" w:type="dxa"/>
            </w:tcMar>
            <w:vAlign w:val="center"/>
          </w:tcPr>
          <w:p w14:paraId="124EADD7">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“急时”隔离重症救治病区</w:t>
            </w:r>
          </w:p>
        </w:tc>
        <w:tc>
          <w:tcPr>
            <w:tcW w:w="607" w:type="pct"/>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6F6FBC1D">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负压</w:t>
            </w:r>
          </w:p>
        </w:tc>
        <w:tc>
          <w:tcPr>
            <w:tcW w:w="653" w:type="pct"/>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2C90886B">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12</w:t>
            </w:r>
          </w:p>
        </w:tc>
        <w:tc>
          <w:tcPr>
            <w:tcW w:w="634" w:type="pct"/>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3FCE294B">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12</w:t>
            </w:r>
          </w:p>
        </w:tc>
        <w:tc>
          <w:tcPr>
            <w:tcW w:w="679" w:type="pct"/>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69131889">
            <w:pPr>
              <w:jc w:val="center"/>
              <w:rPr>
                <w:rFonts w:ascii="方正仿宋_GB2312" w:hAnsi="方正仿宋_GB2312" w:eastAsia="方正仿宋_GB2312"/>
                <w:szCs w:val="21"/>
              </w:rPr>
            </w:pPr>
            <w:r>
              <w:rPr>
                <w:rFonts w:ascii="方正仿宋_GB2312" w:hAnsi="方正仿宋_GB2312" w:eastAsia="方正仿宋_GB2312" w:cs="宋体"/>
                <w:color w:val="000000"/>
                <w:szCs w:val="21"/>
              </w:rPr>
              <w:t>MAX(15/B)</w:t>
            </w:r>
          </w:p>
        </w:tc>
      </w:tr>
      <w:tr w14:paraId="60555465">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684" w:hRule="atLeast"/>
          <w:tblHeader/>
        </w:trPr>
        <w:tc>
          <w:tcPr>
            <w:tcW w:w="5000" w:type="pct"/>
            <w:gridSpan w:val="7"/>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6D5750B6">
            <w:pPr>
              <w:spacing w:line="280" w:lineRule="exact"/>
              <w:rPr>
                <w:rFonts w:ascii="方正仿宋_GB2312" w:hAnsi="方正仿宋_GB2312" w:eastAsia="方正仿宋_GB2312"/>
                <w:szCs w:val="21"/>
              </w:rPr>
            </w:pPr>
            <w:r>
              <w:rPr>
                <w:rFonts w:ascii="方正仿宋_GB2312" w:hAnsi="方正仿宋_GB2312" w:eastAsia="方正仿宋_GB2312" w:cs="宋体"/>
                <w:color w:val="000000"/>
                <w:szCs w:val="21"/>
              </w:rPr>
              <w:t xml:space="preserve">注: </w:t>
            </w:r>
          </w:p>
          <w:p w14:paraId="49C03739">
            <w:pPr>
              <w:spacing w:line="280" w:lineRule="exact"/>
              <w:rPr>
                <w:rFonts w:ascii="方正仿宋_GB2312" w:hAnsi="方正仿宋_GB2312" w:eastAsia="方正仿宋_GB2312"/>
                <w:szCs w:val="21"/>
              </w:rPr>
            </w:pPr>
            <w:r>
              <w:rPr>
                <w:rFonts w:ascii="方正仿宋_GB2312" w:hAnsi="方正仿宋_GB2312" w:eastAsia="方正仿宋_GB2312" w:cs="宋体"/>
                <w:color w:val="000000"/>
                <w:szCs w:val="21"/>
              </w:rPr>
              <w:t xml:space="preserve">(1)“/”表示无特殊规定，视需要与设备状况确定，其中换药室、处置室、配餐室、污物室和污洗室排风宜 10-15 次/h； </w:t>
            </w:r>
          </w:p>
          <w:p w14:paraId="6E136F21">
            <w:pPr>
              <w:spacing w:line="280" w:lineRule="exact"/>
              <w:rPr>
                <w:rFonts w:ascii="方正仿宋_GB2312" w:hAnsi="方正仿宋_GB2312" w:eastAsia="方正仿宋_GB2312"/>
                <w:szCs w:val="21"/>
              </w:rPr>
            </w:pPr>
            <w:r>
              <w:rPr>
                <w:rFonts w:ascii="方正仿宋_GB2312" w:hAnsi="方正仿宋_GB2312" w:eastAsia="方正仿宋_GB2312" w:cs="宋体"/>
                <w:color w:val="000000"/>
                <w:szCs w:val="21"/>
              </w:rPr>
              <w:t>(2)“A”表示清洁区每个房间新风量应至少大于排风量 150m</w:t>
            </w:r>
            <w:r>
              <w:rPr>
                <w:rFonts w:ascii="Cambria" w:hAnsi="Cambria" w:eastAsia="方正仿宋_GB2312" w:cs="Cambria"/>
                <w:color w:val="000000"/>
                <w:szCs w:val="21"/>
              </w:rPr>
              <w:t>³</w:t>
            </w:r>
            <w:r>
              <w:rPr>
                <w:rFonts w:ascii="方正仿宋_GB2312" w:hAnsi="方正仿宋_GB2312" w:eastAsia="方正仿宋_GB2312" w:cs="宋体"/>
                <w:color w:val="000000"/>
                <w:szCs w:val="21"/>
              </w:rPr>
              <w:t>/h；缓冲区和污染区每个房间排风量应至少大于新风量 150m</w:t>
            </w:r>
            <w:r>
              <w:rPr>
                <w:rFonts w:ascii="Cambria" w:hAnsi="Cambria" w:eastAsia="方正仿宋_GB2312" w:cs="Cambria"/>
                <w:color w:val="000000"/>
                <w:szCs w:val="21"/>
              </w:rPr>
              <w:t>³</w:t>
            </w:r>
            <w:r>
              <w:rPr>
                <w:rFonts w:ascii="方正仿宋_GB2312" w:hAnsi="方正仿宋_GB2312" w:eastAsia="方正仿宋_GB2312" w:cs="宋体"/>
                <w:color w:val="000000"/>
                <w:szCs w:val="21"/>
              </w:rPr>
              <w:t xml:space="preserve">/h； </w:t>
            </w:r>
          </w:p>
          <w:p w14:paraId="7A9B34A1">
            <w:pPr>
              <w:spacing w:line="280" w:lineRule="exact"/>
              <w:rPr>
                <w:rFonts w:ascii="方正仿宋_GB2312" w:hAnsi="方正仿宋_GB2312" w:eastAsia="方正仿宋_GB2312"/>
                <w:szCs w:val="21"/>
              </w:rPr>
            </w:pPr>
            <w:r>
              <w:rPr>
                <w:rFonts w:ascii="方正仿宋_GB2312" w:hAnsi="方正仿宋_GB2312" w:eastAsia="方正仿宋_GB2312" w:cs="宋体"/>
                <w:color w:val="000000"/>
                <w:szCs w:val="21"/>
              </w:rPr>
              <w:t xml:space="preserve">(3) 正压表示宜高于 5Pa，负压表示宜低于 5Pa； </w:t>
            </w:r>
          </w:p>
          <w:p w14:paraId="2F3EF734">
            <w:pPr>
              <w:spacing w:line="280" w:lineRule="exact"/>
              <w:rPr>
                <w:rFonts w:ascii="方正仿宋_GB2312" w:hAnsi="方正仿宋_GB2312" w:eastAsia="方正仿宋_GB2312"/>
                <w:szCs w:val="21"/>
              </w:rPr>
            </w:pPr>
            <w:r>
              <w:rPr>
                <w:rFonts w:ascii="方正仿宋_GB2312" w:hAnsi="方正仿宋_GB2312" w:eastAsia="方正仿宋_GB2312" w:cs="宋体"/>
                <w:color w:val="000000"/>
                <w:szCs w:val="21"/>
              </w:rPr>
              <w:t xml:space="preserve">(4) 病房内卫生间排风 12-15 次/h，且与病房排风同一系统； </w:t>
            </w:r>
          </w:p>
          <w:p w14:paraId="1D9E6354">
            <w:pPr>
              <w:spacing w:line="280" w:lineRule="exact"/>
              <w:rPr>
                <w:rFonts w:ascii="方正仿宋_GB2312" w:hAnsi="方正仿宋_GB2312" w:eastAsia="方正仿宋_GB2312"/>
                <w:sz w:val="24"/>
                <w:szCs w:val="24"/>
              </w:rPr>
            </w:pPr>
            <w:r>
              <w:rPr>
                <w:rFonts w:ascii="方正仿宋_GB2312" w:hAnsi="方正仿宋_GB2312" w:eastAsia="方正仿宋_GB2312" w:cs="宋体"/>
                <w:color w:val="000000"/>
                <w:szCs w:val="21"/>
              </w:rPr>
              <w:t>(5)MAX(15/B)表示本表格中计算所得的换气量和 15 次/h 换气量的最大值。</w:t>
            </w:r>
          </w:p>
        </w:tc>
      </w:tr>
    </w:tbl>
    <w:p w14:paraId="6E7F3BF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9.0.5 “平急两用”医疗应急服务点送风(新风)、排风系统除应满足《综合医院建筑设计规范》GB 51039、《医院洁净手术部建筑技术规范》GB 50333、《生物安全实验室建筑技术规范》GB 50346 的相关规定外，尚应符合下列规定:</w:t>
      </w:r>
    </w:p>
    <w:p w14:paraId="222D151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w:t>
      </w:r>
      <w:r>
        <w:rPr>
          <w:rFonts w:ascii="Times New Roman" w:hAnsi="Times New Roman" w:eastAsia="方正仿宋_GB2312" w:cs="Times New Roman"/>
          <w:b w:val="0"/>
          <w:bCs w:val="0"/>
          <w:color w:val="auto"/>
        </w:rPr>
        <w:t>.0.5.1 “急时”启用期间，潜在污染区和污染区送风(新风)系统应设置粗效、中效</w:t>
      </w:r>
      <w:r>
        <w:rPr>
          <w:rFonts w:hint="eastAsia" w:ascii="Times New Roman" w:hAnsi="Times New Roman" w:eastAsia="方正仿宋_GB2312" w:cs="Times New Roman"/>
          <w:b w:val="0"/>
          <w:bCs w:val="0"/>
          <w:color w:val="auto"/>
        </w:rPr>
        <w:t>和亚高效或</w:t>
      </w:r>
      <w:r>
        <w:rPr>
          <w:rFonts w:ascii="Times New Roman" w:hAnsi="Times New Roman" w:eastAsia="方正仿宋_GB2312" w:cs="Times New Roman"/>
          <w:b w:val="0"/>
          <w:bCs w:val="0"/>
          <w:color w:val="auto"/>
        </w:rPr>
        <w:t>高效的三级过滤器；潜在污染区和污染区排风应经</w:t>
      </w:r>
      <w:r>
        <w:rPr>
          <w:rFonts w:hint="eastAsia" w:ascii="Times New Roman" w:hAnsi="Times New Roman" w:eastAsia="方正仿宋_GB2312" w:cs="Times New Roman"/>
          <w:b w:val="0"/>
          <w:bCs w:val="0"/>
          <w:color w:val="auto"/>
        </w:rPr>
        <w:t>过</w:t>
      </w:r>
      <w:r>
        <w:rPr>
          <w:rFonts w:ascii="Times New Roman" w:hAnsi="Times New Roman" w:eastAsia="方正仿宋_GB2312" w:cs="Times New Roman"/>
          <w:b w:val="0"/>
          <w:bCs w:val="0"/>
          <w:color w:val="auto"/>
        </w:rPr>
        <w:t>高效过滤</w:t>
      </w:r>
      <w:r>
        <w:rPr>
          <w:rFonts w:hint="eastAsia" w:ascii="Times New Roman" w:hAnsi="Times New Roman" w:eastAsia="方正仿宋_GB2312" w:cs="Times New Roman"/>
          <w:b w:val="0"/>
          <w:bCs w:val="0"/>
          <w:color w:val="auto"/>
        </w:rPr>
        <w:t>器</w:t>
      </w:r>
      <w:r>
        <w:rPr>
          <w:rFonts w:ascii="Times New Roman" w:hAnsi="Times New Roman" w:eastAsia="方正仿宋_GB2312" w:cs="Times New Roman"/>
          <w:b w:val="0"/>
          <w:bCs w:val="0"/>
          <w:color w:val="auto"/>
        </w:rPr>
        <w:t>过滤后排放</w:t>
      </w:r>
      <w:r>
        <w:rPr>
          <w:rFonts w:hint="eastAsia" w:ascii="Times New Roman" w:hAnsi="Times New Roman" w:eastAsia="方正仿宋_GB2312" w:cs="Times New Roman"/>
          <w:b w:val="0"/>
          <w:bCs w:val="0"/>
          <w:color w:val="auto"/>
        </w:rPr>
        <w:t>；新、排风系统均应设置消毒装置；</w:t>
      </w:r>
    </w:p>
    <w:p w14:paraId="368E74B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w:t>
      </w:r>
      <w:r>
        <w:rPr>
          <w:rFonts w:ascii="Times New Roman" w:hAnsi="Times New Roman" w:eastAsia="方正仿宋_GB2312" w:cs="Times New Roman"/>
          <w:b w:val="0"/>
          <w:bCs w:val="0"/>
          <w:color w:val="auto"/>
        </w:rPr>
        <w:t>.0.5.2</w:t>
      </w:r>
      <w:r>
        <w:rPr>
          <w:rFonts w:hint="eastAsia" w:ascii="Times New Roman" w:hAnsi="Times New Roman" w:eastAsia="方正仿宋_GB2312" w:cs="Times New Roman"/>
          <w:b w:val="0"/>
          <w:bCs w:val="0"/>
          <w:color w:val="auto"/>
        </w:rPr>
        <w:t xml:space="preserve"> </w:t>
      </w:r>
      <w:r>
        <w:rPr>
          <w:rFonts w:ascii="Times New Roman" w:hAnsi="Times New Roman" w:eastAsia="方正仿宋_GB2312" w:cs="Times New Roman"/>
          <w:b w:val="0"/>
          <w:bCs w:val="0"/>
          <w:color w:val="auto"/>
        </w:rPr>
        <w:t>送风和排风系统的各级空气过滤器应设压差检测和报警装置；对于设置在排风口的过滤器，每个排风系统最少应当设置1个压差检测和报警装置；</w:t>
      </w:r>
    </w:p>
    <w:p w14:paraId="122038C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w:t>
      </w:r>
      <w:r>
        <w:rPr>
          <w:rFonts w:ascii="Times New Roman" w:hAnsi="Times New Roman" w:eastAsia="方正仿宋_GB2312" w:cs="Times New Roman"/>
          <w:b w:val="0"/>
          <w:bCs w:val="0"/>
          <w:color w:val="auto"/>
        </w:rPr>
        <w:t>.0.5.3 “平时”病房及其卫生间排风可不设风口过滤器；“急时”隔离病房及其卫生间、重症监护病房的高效空气过滤装置应设在房间排风口；</w:t>
      </w:r>
    </w:p>
    <w:p w14:paraId="792F92F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w:t>
      </w:r>
      <w:r>
        <w:rPr>
          <w:rFonts w:ascii="Times New Roman" w:hAnsi="Times New Roman" w:eastAsia="方正仿宋_GB2312" w:cs="Times New Roman"/>
          <w:b w:val="0"/>
          <w:bCs w:val="0"/>
          <w:color w:val="auto"/>
        </w:rPr>
        <w:t>.0.5.4</w:t>
      </w:r>
      <w:r>
        <w:rPr>
          <w:rFonts w:hint="eastAsia" w:ascii="Times New Roman" w:hAnsi="Times New Roman" w:eastAsia="方正仿宋_GB2312" w:cs="Times New Roman"/>
          <w:b w:val="0"/>
          <w:bCs w:val="0"/>
          <w:color w:val="auto"/>
        </w:rPr>
        <w:t xml:space="preserve"> </w:t>
      </w:r>
      <w:r>
        <w:rPr>
          <w:rFonts w:ascii="Times New Roman" w:hAnsi="Times New Roman" w:eastAsia="方正仿宋_GB2312" w:cs="Times New Roman"/>
          <w:b w:val="0"/>
          <w:bCs w:val="0"/>
          <w:color w:val="auto"/>
        </w:rPr>
        <w:t>医疗应急服务点病区的送风(新风)机组出口及排风机组进口应设置与风机联动的电动密闭风阀；</w:t>
      </w:r>
    </w:p>
    <w:p w14:paraId="3125278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w:t>
      </w:r>
      <w:r>
        <w:rPr>
          <w:rFonts w:ascii="Times New Roman" w:hAnsi="Times New Roman" w:eastAsia="方正仿宋_GB2312" w:cs="Times New Roman"/>
          <w:b w:val="0"/>
          <w:bCs w:val="0"/>
          <w:color w:val="auto"/>
        </w:rPr>
        <w:t>.0.5.5</w:t>
      </w:r>
      <w:r>
        <w:rPr>
          <w:rFonts w:hint="eastAsia" w:ascii="Times New Roman" w:hAnsi="Times New Roman" w:eastAsia="方正仿宋_GB2312" w:cs="Times New Roman"/>
          <w:b w:val="0"/>
          <w:bCs w:val="0"/>
          <w:color w:val="auto"/>
        </w:rPr>
        <w:t xml:space="preserve"> </w:t>
      </w:r>
      <w:r>
        <w:rPr>
          <w:rFonts w:ascii="Times New Roman" w:hAnsi="Times New Roman" w:eastAsia="方正仿宋_GB2312" w:cs="Times New Roman"/>
          <w:b w:val="0"/>
          <w:bCs w:val="0"/>
          <w:color w:val="auto"/>
        </w:rPr>
        <w:t>每间负压隔离病房的送风(新风)、排风管上应设置密闭阀；</w:t>
      </w:r>
    </w:p>
    <w:p w14:paraId="796A492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w:t>
      </w:r>
      <w:r>
        <w:rPr>
          <w:rFonts w:ascii="Times New Roman" w:hAnsi="Times New Roman" w:eastAsia="方正仿宋_GB2312" w:cs="Times New Roman"/>
          <w:b w:val="0"/>
          <w:bCs w:val="0"/>
          <w:color w:val="auto"/>
        </w:rPr>
        <w:t>.0.5.6</w:t>
      </w:r>
      <w:r>
        <w:rPr>
          <w:rFonts w:hint="eastAsia" w:ascii="Times New Roman" w:hAnsi="Times New Roman" w:eastAsia="方正仿宋_GB2312" w:cs="Times New Roman"/>
          <w:b w:val="0"/>
          <w:bCs w:val="0"/>
          <w:color w:val="auto"/>
        </w:rPr>
        <w:t xml:space="preserve"> </w:t>
      </w:r>
      <w:r>
        <w:rPr>
          <w:rFonts w:ascii="Times New Roman" w:hAnsi="Times New Roman" w:eastAsia="方正仿宋_GB2312" w:cs="Times New Roman"/>
          <w:b w:val="0"/>
          <w:bCs w:val="0"/>
          <w:color w:val="auto"/>
        </w:rPr>
        <w:t>负压隔离病房通风系统的送风机(新风机)与排风机应联锁控制,启动通风系统时,应先启动系统排风机，后启动送风机(新风机)；关停时,应先关闭系统送风机(新风机)，后关闭系统排风机。</w:t>
      </w:r>
    </w:p>
    <w:p w14:paraId="7D8602B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9.0.6 通风系统、空调系统布置应符合下列规定：</w:t>
      </w:r>
    </w:p>
    <w:p w14:paraId="1923D9E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w:t>
      </w:r>
      <w:r>
        <w:rPr>
          <w:rFonts w:ascii="Times New Roman" w:hAnsi="Times New Roman" w:eastAsia="方正仿宋_GB2312" w:cs="Times New Roman"/>
          <w:b w:val="0"/>
          <w:bCs w:val="0"/>
          <w:color w:val="auto"/>
        </w:rPr>
        <w:t>.0.6.1 医疗应急服务点的通风系统、空调系统的风管尺寸应按“急时”的风量设计；</w:t>
      </w:r>
    </w:p>
    <w:p w14:paraId="0F6BA3F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w:t>
      </w:r>
      <w:r>
        <w:rPr>
          <w:rFonts w:ascii="Times New Roman" w:hAnsi="Times New Roman" w:eastAsia="方正仿宋_GB2312" w:cs="Times New Roman"/>
          <w:b w:val="0"/>
          <w:bCs w:val="0"/>
          <w:color w:val="auto"/>
        </w:rPr>
        <w:t>.0.6.2 医疗应急服务点的通风、空调设备机房布置应当预留满足“急时”设备安装、检修的空间要求；</w:t>
      </w:r>
    </w:p>
    <w:p w14:paraId="2F7E699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w:t>
      </w:r>
      <w:r>
        <w:rPr>
          <w:rFonts w:ascii="Times New Roman" w:hAnsi="Times New Roman" w:eastAsia="方正仿宋_GB2312" w:cs="Times New Roman"/>
          <w:b w:val="0"/>
          <w:bCs w:val="0"/>
          <w:color w:val="auto"/>
        </w:rPr>
        <w:t>.0.6.3 潜在污染区和污染区的排风机应设置在室外并设置于排风管末端；潜在污染区和污染区排风系统的排出口不应临近人员活动区且排出口应高于屋面不低于3m；排出口与送风系统进风口的水平距离不应小于20m；当水平距离不足20m时，排出口应高于进风口且两者高差不小于6m；排出口设锥形风帽高空排放；</w:t>
      </w:r>
    </w:p>
    <w:p w14:paraId="1FA683E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w:t>
      </w:r>
      <w:r>
        <w:rPr>
          <w:rFonts w:ascii="Times New Roman" w:hAnsi="Times New Roman" w:eastAsia="方正仿宋_GB2312" w:cs="Times New Roman"/>
          <w:b w:val="0"/>
          <w:bCs w:val="0"/>
          <w:color w:val="auto"/>
        </w:rPr>
        <w:t>.0.6.4</w:t>
      </w:r>
      <w:r>
        <w:rPr>
          <w:rFonts w:hint="eastAsia" w:ascii="Times New Roman" w:hAnsi="Times New Roman" w:eastAsia="方正仿宋_GB2312" w:cs="Times New Roman"/>
          <w:b w:val="0"/>
          <w:bCs w:val="0"/>
          <w:color w:val="auto"/>
        </w:rPr>
        <w:t xml:space="preserve"> </w:t>
      </w:r>
      <w:r>
        <w:rPr>
          <w:rFonts w:ascii="Times New Roman" w:hAnsi="Times New Roman" w:eastAsia="方正仿宋_GB2312" w:cs="Times New Roman"/>
          <w:b w:val="0"/>
          <w:bCs w:val="0"/>
          <w:color w:val="auto"/>
        </w:rPr>
        <w:t>卫生通过的一脱、二脱、淋浴等房间应设置机械通风,并应控制周边相通房间空气顺序流向一脱间，且室内气流组织应上送下排；</w:t>
      </w:r>
    </w:p>
    <w:p w14:paraId="521FF76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w:t>
      </w:r>
      <w:r>
        <w:rPr>
          <w:rFonts w:ascii="Times New Roman" w:hAnsi="Times New Roman" w:eastAsia="方正仿宋_GB2312" w:cs="Times New Roman"/>
          <w:b w:val="0"/>
          <w:bCs w:val="0"/>
          <w:color w:val="auto"/>
        </w:rPr>
        <w:t>.0.6.5</w:t>
      </w:r>
      <w:r>
        <w:rPr>
          <w:rFonts w:hint="eastAsia" w:ascii="Times New Roman" w:hAnsi="Times New Roman" w:eastAsia="方正仿宋_GB2312" w:cs="Times New Roman"/>
          <w:b w:val="0"/>
          <w:bCs w:val="0"/>
          <w:color w:val="auto"/>
        </w:rPr>
        <w:t xml:space="preserve"> </w:t>
      </w:r>
      <w:r>
        <w:rPr>
          <w:rFonts w:ascii="Times New Roman" w:hAnsi="Times New Roman" w:eastAsia="方正仿宋_GB2312" w:cs="Times New Roman"/>
          <w:b w:val="0"/>
          <w:bCs w:val="0"/>
          <w:color w:val="auto"/>
        </w:rPr>
        <w:t>清洁区和潜在污染区室内送风口与排风口应当保持距离，使清洁空气首先流经医护人员区域。仅“急时”期间使用的新增空调机安装位置应当注意减小其送风对室内气流的影响；</w:t>
      </w:r>
    </w:p>
    <w:p w14:paraId="2F63489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w:t>
      </w:r>
      <w:r>
        <w:rPr>
          <w:rFonts w:ascii="Times New Roman" w:hAnsi="Times New Roman" w:eastAsia="方正仿宋_GB2312" w:cs="Times New Roman"/>
          <w:b w:val="0"/>
          <w:bCs w:val="0"/>
          <w:color w:val="auto"/>
        </w:rPr>
        <w:t>.0.6.6</w:t>
      </w:r>
      <w:r>
        <w:rPr>
          <w:rFonts w:hint="eastAsia" w:ascii="Times New Roman" w:hAnsi="Times New Roman" w:eastAsia="方正仿宋_GB2312" w:cs="Times New Roman"/>
          <w:b w:val="0"/>
          <w:bCs w:val="0"/>
          <w:color w:val="auto"/>
        </w:rPr>
        <w:t xml:space="preserve"> </w:t>
      </w:r>
      <w:r>
        <w:rPr>
          <w:rFonts w:ascii="Times New Roman" w:hAnsi="Times New Roman" w:eastAsia="方正仿宋_GB2312" w:cs="Times New Roman"/>
          <w:b w:val="0"/>
          <w:bCs w:val="0"/>
          <w:color w:val="auto"/>
        </w:rPr>
        <w:t>多人病房送风口应设置于病房医护人员入口附近顶部，单人病房送风口宜设在床尾的顶部；病房排风口宜设置于与送风口相对的床头下侧；每间病房及其卫生间的送风、排风管上应设置电动密闭阀并宜安装在病房外。</w:t>
      </w:r>
    </w:p>
    <w:p w14:paraId="0EE4B3B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9.0.7 医疗应急服务点的空调机组和排风机组应按“急时”需求设置，空调机组和排风机组宜平急共用；“平时”全空气空调系统在“急时”需切换为全新风直流空调系统时，选配空调机组应满足全新风冷、热盘管容量及防冻措施。</w:t>
      </w:r>
    </w:p>
    <w:p w14:paraId="028B00B0">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9.0.8 “急时”使用期间的病房与其相邻相通的缓冲间、缓冲间与潜在污染区宜保持不小于5Pa的负压差；病房和卫生通过的一脱和二脱宜在门口1.5m高度设微压差显示装置，并标示明显的安全压差范围。</w:t>
      </w:r>
      <w:r>
        <w:rPr>
          <w:rFonts w:ascii="宋体" w:hAnsi="宋体" w:eastAsia="宋体" w:cs="宋体"/>
        </w:rPr>
        <w:br w:type="page"/>
      </w:r>
    </w:p>
    <w:p w14:paraId="2B300D0A">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b w:val="0"/>
          <w:snapToGrid w:val="0"/>
          <w:kern w:val="0"/>
          <w:sz w:val="40"/>
          <w:szCs w:val="40"/>
          <w:lang w:eastAsia="en-US"/>
        </w:rPr>
      </w:pPr>
      <w:bookmarkStart w:id="25" w:name="_Toc205393801"/>
      <w:r>
        <w:rPr>
          <w:rFonts w:hint="eastAsia" w:ascii="Times New Roman" w:hAnsi="Times New Roman" w:eastAsia="黑体"/>
          <w:b w:val="0"/>
          <w:snapToGrid w:val="0"/>
          <w:kern w:val="0"/>
          <w:sz w:val="40"/>
          <w:szCs w:val="40"/>
          <w:lang w:eastAsia="en-US"/>
        </w:rPr>
        <w:t>1</w:t>
      </w:r>
      <w:r>
        <w:rPr>
          <w:rFonts w:ascii="Times New Roman" w:hAnsi="Times New Roman" w:eastAsia="黑体"/>
          <w:b w:val="0"/>
          <w:snapToGrid w:val="0"/>
          <w:kern w:val="0"/>
          <w:sz w:val="40"/>
          <w:szCs w:val="40"/>
          <w:lang w:eastAsia="en-US"/>
        </w:rPr>
        <w:t xml:space="preserve">0  </w:t>
      </w:r>
      <w:r>
        <w:rPr>
          <w:rFonts w:hint="eastAsia" w:ascii="Times New Roman" w:hAnsi="Times New Roman" w:eastAsia="黑体"/>
          <w:b w:val="0"/>
          <w:snapToGrid w:val="0"/>
          <w:kern w:val="0"/>
          <w:sz w:val="40"/>
          <w:szCs w:val="40"/>
          <w:lang w:eastAsia="en-US"/>
        </w:rPr>
        <w:t>电</w:t>
      </w:r>
      <w:r>
        <w:rPr>
          <w:rFonts w:hint="eastAsia" w:ascii="Times New Roman" w:hAnsi="Times New Roman" w:eastAsia="黑体"/>
          <w:b w:val="0"/>
          <w:snapToGrid w:val="0"/>
          <w:kern w:val="0"/>
          <w:sz w:val="40"/>
          <w:szCs w:val="40"/>
        </w:rPr>
        <w:t>气</w:t>
      </w:r>
    </w:p>
    <w:bookmarkEnd w:id="25"/>
    <w:p w14:paraId="39E940CA">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b w:val="0"/>
          <w:snapToGrid w:val="0"/>
          <w:kern w:val="0"/>
          <w:sz w:val="40"/>
          <w:szCs w:val="40"/>
          <w:lang w:eastAsia="en-US"/>
        </w:rPr>
      </w:pPr>
      <w:r>
        <w:rPr>
          <w:rFonts w:hint="eastAsia" w:ascii="Times New Roman" w:hAnsi="Times New Roman" w:eastAsia="黑体"/>
          <w:b w:val="0"/>
          <w:snapToGrid w:val="0"/>
          <w:kern w:val="0"/>
          <w:sz w:val="40"/>
          <w:szCs w:val="40"/>
          <w:lang w:eastAsia="en-US"/>
        </w:rPr>
        <w:t xml:space="preserve"> </w:t>
      </w:r>
    </w:p>
    <w:p w14:paraId="29CE098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10.0.1 “平急两用”新建建筑及既有建筑改造电气设计，应同时满足转换前后建筑物对负荷等级、供配电系统和电源的要求。</w:t>
      </w:r>
    </w:p>
    <w:p w14:paraId="604FDAA7">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 xml:space="preserve">10.0.2 </w:t>
      </w:r>
      <w:bookmarkStart w:id="26" w:name="OLE_LINK30"/>
      <w:bookmarkStart w:id="27" w:name="OLE_LINK31"/>
      <w:r>
        <w:rPr>
          <w:rFonts w:hint="eastAsia" w:ascii="Times New Roman" w:hAnsi="Times New Roman" w:eastAsia="方正仿宋_GB2312" w:cs="Times New Roman"/>
          <w:b w:val="0"/>
          <w:bCs w:val="0"/>
          <w:color w:val="auto"/>
        </w:rPr>
        <w:t>新建</w:t>
      </w:r>
      <w:r>
        <w:rPr>
          <w:rFonts w:ascii="Times New Roman" w:hAnsi="Times New Roman" w:eastAsia="方正仿宋_GB2312" w:cs="Times New Roman"/>
          <w:b w:val="0"/>
          <w:bCs w:val="0"/>
          <w:color w:val="auto"/>
        </w:rPr>
        <w:t>变配电室或户外预装式变电站应设置</w:t>
      </w:r>
      <w:r>
        <w:rPr>
          <w:rFonts w:hint="eastAsia" w:ascii="Times New Roman" w:hAnsi="Times New Roman" w:eastAsia="方正仿宋_GB2312" w:cs="Times New Roman"/>
          <w:b w:val="0"/>
          <w:bCs w:val="0"/>
          <w:color w:val="auto"/>
        </w:rPr>
        <w:t>在地面层，其场地高程应高于</w:t>
      </w:r>
      <w:r>
        <w:rPr>
          <w:rFonts w:ascii="Times New Roman" w:hAnsi="Times New Roman" w:eastAsia="方正仿宋_GB2312" w:cs="Times New Roman"/>
          <w:b w:val="0"/>
          <w:bCs w:val="0"/>
          <w:color w:val="auto"/>
        </w:rPr>
        <w:t>当地防涝用地高程或</w:t>
      </w:r>
      <w:r>
        <w:rPr>
          <w:rFonts w:hint="eastAsia" w:ascii="Times New Roman" w:hAnsi="Times New Roman" w:eastAsia="方正仿宋_GB2312" w:cs="Times New Roman"/>
          <w:b w:val="0"/>
          <w:bCs w:val="0"/>
          <w:color w:val="auto"/>
        </w:rPr>
        <w:t>当地</w:t>
      </w:r>
      <w:r>
        <w:rPr>
          <w:rFonts w:ascii="Times New Roman" w:hAnsi="Times New Roman" w:eastAsia="方正仿宋_GB2312" w:cs="Times New Roman"/>
          <w:b w:val="0"/>
          <w:bCs w:val="0"/>
          <w:color w:val="auto"/>
        </w:rPr>
        <w:t>历史最高水位。</w:t>
      </w:r>
      <w:bookmarkEnd w:id="26"/>
      <w:bookmarkEnd w:id="27"/>
    </w:p>
    <w:p w14:paraId="7284205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10.0.3 应在</w:t>
      </w:r>
      <w:r>
        <w:rPr>
          <w:rFonts w:hint="eastAsia" w:ascii="Times New Roman" w:hAnsi="Times New Roman" w:eastAsia="方正仿宋_GB2312" w:cs="Times New Roman"/>
          <w:b w:val="0"/>
          <w:bCs w:val="0"/>
          <w:color w:val="auto"/>
          <w:lang w:eastAsia="zh-CN"/>
        </w:rPr>
        <w:t>新建</w:t>
      </w:r>
      <w:r>
        <w:rPr>
          <w:rFonts w:ascii="Times New Roman" w:hAnsi="Times New Roman" w:eastAsia="方正仿宋_GB2312" w:cs="Times New Roman"/>
          <w:b w:val="0"/>
          <w:bCs w:val="0"/>
          <w:color w:val="auto"/>
        </w:rPr>
        <w:t>变配电室或总配电室等适当位置预留“急时”电源接口及场地，满足“急时”电源容量快速扩展的需要。</w:t>
      </w:r>
    </w:p>
    <w:p w14:paraId="51DA9EF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10.0.4 建筑物内的各级配电箱、柜应考虑“平时”和“急时”状态需要，预留充裕的出线开关容量</w:t>
      </w:r>
      <w:r>
        <w:rPr>
          <w:rFonts w:hint="eastAsia" w:ascii="Times New Roman" w:hAnsi="Times New Roman" w:eastAsia="方正仿宋_GB2312" w:cs="Times New Roman"/>
          <w:b w:val="0"/>
          <w:bCs w:val="0"/>
          <w:color w:val="auto"/>
        </w:rPr>
        <w:t>及</w:t>
      </w:r>
      <w:r>
        <w:rPr>
          <w:rFonts w:ascii="Times New Roman" w:hAnsi="Times New Roman" w:eastAsia="方正仿宋_GB2312" w:cs="Times New Roman"/>
          <w:b w:val="0"/>
          <w:bCs w:val="0"/>
          <w:color w:val="auto"/>
        </w:rPr>
        <w:t>馈电回路数。</w:t>
      </w:r>
    </w:p>
    <w:p w14:paraId="4B1194C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10.0.5 有应急设施场地的，宜预留临时变配电室、发电机的安装位置或在变配电室预留开关间隔及管线穿墙套管，套管应采取止水措施，并在平时做好防火封堵。</w:t>
      </w:r>
    </w:p>
    <w:p w14:paraId="7C85FD8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10.0.6 低压配电系统回路应按清洁区，潜在污染区和污染区分区设置。“平急两用”空间护理单元各类配电箱（柜）、控制箱（柜）宜设置在转换后的清洁区</w:t>
      </w:r>
      <w:r>
        <w:rPr>
          <w:rFonts w:hint="eastAsia" w:ascii="Times New Roman" w:hAnsi="Times New Roman" w:eastAsia="方正仿宋_GB2312" w:cs="Times New Roman"/>
          <w:b w:val="0"/>
          <w:bCs w:val="0"/>
          <w:color w:val="auto"/>
        </w:rPr>
        <w:t>，不得布置在污染区和潜在污染区。</w:t>
      </w:r>
    </w:p>
    <w:p w14:paraId="3B5BC5F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10.0.7 室内主干线路不应敷设于污染区内。当线路穿越污染区、潜在污染区</w:t>
      </w:r>
      <w:r>
        <w:rPr>
          <w:rFonts w:hint="eastAsia" w:ascii="Times New Roman" w:hAnsi="Times New Roman" w:eastAsia="方正仿宋_GB2312" w:cs="Times New Roman"/>
          <w:b w:val="0"/>
          <w:bCs w:val="0"/>
          <w:color w:val="auto"/>
        </w:rPr>
        <w:t>和</w:t>
      </w:r>
      <w:r>
        <w:rPr>
          <w:rFonts w:ascii="Times New Roman" w:hAnsi="Times New Roman" w:eastAsia="方正仿宋_GB2312" w:cs="Times New Roman"/>
          <w:b w:val="0"/>
          <w:bCs w:val="0"/>
          <w:color w:val="auto"/>
        </w:rPr>
        <w:t>清洁区之间的隔墙时，隔墙的缝隙及槽口、管口应采用不燃材料可靠密封。</w:t>
      </w:r>
    </w:p>
    <w:p w14:paraId="4AC73953">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10.0.8 应急电源宜采用柴油发电机组或移动式发电车，连续供电时间不应小于24h</w:t>
      </w:r>
      <w:r>
        <w:rPr>
          <w:rFonts w:hint="eastAsia" w:ascii="Times New Roman" w:hAnsi="Times New Roman" w:eastAsia="方正仿宋_GB2312" w:cs="Times New Roman"/>
          <w:b w:val="0"/>
          <w:bCs w:val="0"/>
          <w:color w:val="auto"/>
        </w:rPr>
        <w:t>。</w:t>
      </w:r>
      <w:r>
        <w:rPr>
          <w:rFonts w:ascii="Times New Roman" w:hAnsi="Times New Roman" w:eastAsia="方正仿宋_GB2312" w:cs="Times New Roman"/>
          <w:b w:val="0"/>
          <w:bCs w:val="0"/>
          <w:color w:val="auto"/>
        </w:rPr>
        <w:t>发电机应配有电压自动调整装置、快速自启动装置及电源自动切换装置，当正常供电电源中断供电时，应能自启动，并应在15s内向规定的用电负载供电；当正常供电电源恢复供电后，应延时切换并停机。</w:t>
      </w:r>
    </w:p>
    <w:p w14:paraId="57EF0AC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10.0.9 当作为应急电源的柴油发电机组启动时间超出应急用电设备允许中断时长时，应增设不间断电源装置，其连续供电时间不宜小于15min。</w:t>
      </w:r>
    </w:p>
    <w:p w14:paraId="087C73A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10.0.10 既有建筑改造时应充分利用原有系统，当不能满足“急时”状态使用要求时,应进行改造。改造设计时新增临时配电箱、集中电源、控制柜等电气设备宜选用成套产品，确保转换方便快捷。</w:t>
      </w:r>
    </w:p>
    <w:p w14:paraId="296D392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10.0.11 诊室、病房、手术室、走廊等各类医疗空间内应设置消毒装置</w:t>
      </w:r>
      <w:r>
        <w:rPr>
          <w:rFonts w:hint="eastAsia" w:ascii="Times New Roman" w:hAnsi="Times New Roman" w:eastAsia="方正仿宋_GB2312" w:cs="Times New Roman"/>
          <w:b w:val="0"/>
          <w:bCs w:val="0"/>
          <w:color w:val="auto"/>
        </w:rPr>
        <w:t>专用</w:t>
      </w:r>
      <w:r>
        <w:rPr>
          <w:rFonts w:ascii="Times New Roman" w:hAnsi="Times New Roman" w:eastAsia="方正仿宋_GB2312" w:cs="Times New Roman"/>
          <w:b w:val="0"/>
          <w:bCs w:val="0"/>
          <w:color w:val="auto"/>
        </w:rPr>
        <w:t>的电源插座。转换后的“急时”预检分诊入口门厅处应预留供消毒、人员信息采集、测温、安检等设备使用的电源插座。所有插座均应采用安全型。</w:t>
      </w:r>
    </w:p>
    <w:p w14:paraId="5E35D66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10.0.12 重症呼吸道传染区的通风系统的配电应独立设置。</w:t>
      </w:r>
    </w:p>
    <w:p w14:paraId="526EC2F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10.0.13 槽盒及保护管在穿越污染区、潜在污染区、清洁区之间的隔</w:t>
      </w:r>
    </w:p>
    <w:p w14:paraId="7E3B967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墙时，隔墙的缝隙及槽口、管口应采用不燃材料可靠密封，防止交叉感染。</w:t>
      </w:r>
    </w:p>
    <w:p w14:paraId="4F08274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10.0.14 消防应急照明和疏散指示系统、火灾自动报警系统、消防设备配电系统等设计应兼顾“急时”情况，方便进行转换或预留转换条件。</w:t>
      </w:r>
    </w:p>
    <w:p w14:paraId="06D88753">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10.0.15 新建建筑和既有建筑改造部分所有电线电缆的燃烧性能、产烟毒性、燃烧滴落物/微粒等级以及火灾自动报警系统线缆的选型、敷设、燃烧性能、连续供电时间等，均应符合现行国家标准的规定</w:t>
      </w:r>
      <w:r>
        <w:rPr>
          <w:rFonts w:hint="eastAsia" w:ascii="Times New Roman" w:hAnsi="Times New Roman" w:eastAsia="方正仿宋_GB2312" w:cs="Times New Roman"/>
          <w:b w:val="0"/>
          <w:bCs w:val="0"/>
          <w:color w:val="auto"/>
        </w:rPr>
        <w:t>。</w:t>
      </w:r>
    </w:p>
    <w:p w14:paraId="6EC2B77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 xml:space="preserve">10.0.16 </w:t>
      </w:r>
      <w:r>
        <w:rPr>
          <w:rFonts w:hint="eastAsia" w:ascii="Times New Roman" w:hAnsi="Times New Roman" w:eastAsia="方正仿宋_GB2312" w:cs="Times New Roman"/>
          <w:b w:val="0"/>
          <w:bCs w:val="0"/>
          <w:color w:val="auto"/>
        </w:rPr>
        <w:t>“</w:t>
      </w:r>
      <w:r>
        <w:rPr>
          <w:rFonts w:ascii="Times New Roman" w:hAnsi="Times New Roman" w:eastAsia="方正仿宋_GB2312" w:cs="Times New Roman"/>
          <w:b w:val="0"/>
          <w:bCs w:val="0"/>
          <w:color w:val="auto"/>
        </w:rPr>
        <w:t>急时</w:t>
      </w:r>
      <w:r>
        <w:rPr>
          <w:rFonts w:hint="eastAsia" w:ascii="Times New Roman" w:hAnsi="Times New Roman" w:eastAsia="方正仿宋_GB2312" w:cs="Times New Roman"/>
          <w:b w:val="0"/>
          <w:bCs w:val="0"/>
          <w:color w:val="auto"/>
        </w:rPr>
        <w:t>”</w:t>
      </w:r>
      <w:r>
        <w:rPr>
          <w:rFonts w:ascii="Times New Roman" w:hAnsi="Times New Roman" w:eastAsia="方正仿宋_GB2312" w:cs="Times New Roman"/>
          <w:b w:val="0"/>
          <w:bCs w:val="0"/>
          <w:color w:val="auto"/>
        </w:rPr>
        <w:t>所需的等电位联结端子箱、配电主干线路的桥架及保护管、穿墙套管等宜先</w:t>
      </w:r>
      <w:r>
        <w:rPr>
          <w:rFonts w:hint="eastAsia" w:ascii="Times New Roman" w:hAnsi="Times New Roman" w:eastAsia="方正仿宋_GB2312" w:cs="Times New Roman"/>
          <w:b w:val="0"/>
          <w:bCs w:val="0"/>
          <w:color w:val="auto"/>
        </w:rPr>
        <w:t>期</w:t>
      </w:r>
      <w:r>
        <w:rPr>
          <w:rFonts w:ascii="Times New Roman" w:hAnsi="Times New Roman" w:eastAsia="方正仿宋_GB2312" w:cs="Times New Roman"/>
          <w:b w:val="0"/>
          <w:bCs w:val="0"/>
          <w:color w:val="auto"/>
        </w:rPr>
        <w:t>预留、预埋到位，</w:t>
      </w:r>
      <w:r>
        <w:rPr>
          <w:rFonts w:hint="eastAsia" w:ascii="Times New Roman" w:hAnsi="Times New Roman" w:eastAsia="方正仿宋_GB2312" w:cs="Times New Roman"/>
          <w:b w:val="0"/>
          <w:bCs w:val="0"/>
          <w:color w:val="auto"/>
        </w:rPr>
        <w:t>方便转换。</w:t>
      </w:r>
      <w:r>
        <w:rPr>
          <w:rFonts w:ascii="Times New Roman" w:hAnsi="Times New Roman" w:eastAsia="方正仿宋_GB2312" w:cs="Times New Roman"/>
          <w:b w:val="0"/>
          <w:bCs w:val="0"/>
          <w:color w:val="auto"/>
        </w:rPr>
        <w:t>但不应影响“平时”状态的使用功能和建筑效果。</w:t>
      </w:r>
    </w:p>
    <w:p w14:paraId="7D92AA73">
      <w:pPr>
        <w:rPr>
          <w:rFonts w:ascii="宋体" w:hAnsi="宋体" w:eastAsia="宋体"/>
          <w:sz w:val="28"/>
          <w:szCs w:val="28"/>
        </w:rPr>
      </w:pPr>
      <w:r>
        <w:rPr>
          <w:rFonts w:ascii="宋体" w:hAnsi="宋体" w:eastAsia="宋体"/>
          <w:sz w:val="28"/>
          <w:szCs w:val="28"/>
        </w:rPr>
        <w:br w:type="page"/>
      </w:r>
    </w:p>
    <w:p w14:paraId="5C770157">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b w:val="0"/>
          <w:snapToGrid w:val="0"/>
          <w:kern w:val="0"/>
          <w:sz w:val="40"/>
          <w:szCs w:val="40"/>
          <w:lang w:eastAsia="en-US"/>
        </w:rPr>
      </w:pPr>
      <w:bookmarkStart w:id="28" w:name="_Toc205393802"/>
      <w:r>
        <w:rPr>
          <w:rFonts w:ascii="Times New Roman" w:hAnsi="Times New Roman" w:eastAsia="黑体"/>
          <w:b w:val="0"/>
          <w:snapToGrid w:val="0"/>
          <w:kern w:val="0"/>
          <w:sz w:val="40"/>
          <w:szCs w:val="40"/>
          <w:lang w:eastAsia="en-US"/>
        </w:rPr>
        <w:t>11  智能</w:t>
      </w:r>
      <w:r>
        <w:rPr>
          <w:rFonts w:hint="eastAsia" w:ascii="Times New Roman" w:hAnsi="Times New Roman" w:eastAsia="黑体"/>
          <w:b w:val="0"/>
          <w:snapToGrid w:val="0"/>
          <w:kern w:val="0"/>
          <w:sz w:val="40"/>
          <w:szCs w:val="40"/>
        </w:rPr>
        <w:t>化</w:t>
      </w:r>
    </w:p>
    <w:bookmarkEnd w:id="28"/>
    <w:p w14:paraId="0623F44E">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b w:val="0"/>
          <w:snapToGrid w:val="0"/>
          <w:kern w:val="0"/>
          <w:sz w:val="40"/>
          <w:szCs w:val="40"/>
          <w:lang w:eastAsia="en-US"/>
        </w:rPr>
      </w:pPr>
      <w:r>
        <w:rPr>
          <w:rFonts w:hint="eastAsia" w:ascii="Times New Roman" w:hAnsi="Times New Roman" w:eastAsia="黑体"/>
          <w:b w:val="0"/>
          <w:snapToGrid w:val="0"/>
          <w:kern w:val="0"/>
          <w:sz w:val="40"/>
          <w:szCs w:val="40"/>
          <w:lang w:eastAsia="en-US"/>
        </w:rPr>
        <w:t xml:space="preserve"> </w:t>
      </w:r>
    </w:p>
    <w:p w14:paraId="4CCA4A7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11.0.1 信息接入系统</w:t>
      </w:r>
      <w:r>
        <w:rPr>
          <w:rFonts w:hint="eastAsia" w:ascii="Times New Roman" w:hAnsi="Times New Roman" w:eastAsia="方正仿宋_GB2312" w:cs="Times New Roman"/>
          <w:b w:val="0"/>
          <w:bCs w:val="0"/>
          <w:color w:val="auto"/>
        </w:rPr>
        <w:t>宜</w:t>
      </w:r>
      <w:r>
        <w:rPr>
          <w:rFonts w:ascii="Times New Roman" w:hAnsi="Times New Roman" w:eastAsia="方正仿宋_GB2312" w:cs="Times New Roman"/>
          <w:b w:val="0"/>
          <w:bCs w:val="0"/>
          <w:color w:val="auto"/>
        </w:rPr>
        <w:t>满足双路由进线，保证应急状态下网络环境的正常运行。应合理预留与交通运输管理部门、上级疾控中心、应急指挥中心、政府相应管理部门等的专用通信接口。</w:t>
      </w:r>
    </w:p>
    <w:p w14:paraId="0796BF20">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11.0.2 “平急两用”的智能化系统宜采用区域化、模块化架构。不同区域应设置独立的汇聚点、设置汇聚交换机、单独敷设光纤，便于系统升级、拓展及在“平急”状态下重新组网。系统管理平台</w:t>
      </w:r>
      <w:r>
        <w:rPr>
          <w:rFonts w:hint="eastAsia" w:ascii="Times New Roman" w:hAnsi="Times New Roman" w:eastAsia="方正仿宋_GB2312" w:cs="Times New Roman"/>
          <w:b w:val="0"/>
          <w:bCs w:val="0"/>
          <w:color w:val="auto"/>
        </w:rPr>
        <w:t>应</w:t>
      </w:r>
      <w:r>
        <w:rPr>
          <w:rFonts w:ascii="Times New Roman" w:hAnsi="Times New Roman" w:eastAsia="方正仿宋_GB2312" w:cs="Times New Roman"/>
          <w:b w:val="0"/>
          <w:bCs w:val="0"/>
          <w:color w:val="auto"/>
        </w:rPr>
        <w:t>预设“应急预案”方便快速进入“急时”管理模式。</w:t>
      </w:r>
    </w:p>
    <w:p w14:paraId="3D2EDB9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11.0.3 既有建筑改造应优先复用原有智能化设备、机房及管线资源，改造过程中需通</w:t>
      </w:r>
      <w:r>
        <w:rPr>
          <w:rFonts w:hint="eastAsia" w:ascii="Times New Roman" w:hAnsi="Times New Roman" w:eastAsia="方正仿宋_GB2312" w:cs="Times New Roman"/>
          <w:b w:val="0"/>
          <w:bCs w:val="0"/>
          <w:color w:val="auto"/>
        </w:rPr>
        <w:t>过</w:t>
      </w:r>
      <w:r>
        <w:rPr>
          <w:rFonts w:ascii="Times New Roman" w:hAnsi="Times New Roman" w:eastAsia="方正仿宋_GB2312" w:cs="Times New Roman"/>
          <w:b w:val="0"/>
          <w:bCs w:val="0"/>
          <w:color w:val="auto"/>
        </w:rPr>
        <w:t>兼容性测试，避免影响原系统正常运行。</w:t>
      </w:r>
    </w:p>
    <w:p w14:paraId="49AABC5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11.0.4 既有设施进行“平急两用”智能化改造设计时，在确保无线通信系统满足使用要求的前提下，新建智能化系统宜采用无线传输架构。</w:t>
      </w:r>
    </w:p>
    <w:p w14:paraId="360948C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11.0.5 应设置移动通信室内信号覆盖系统和无线AP系统，实现4G或5G、WiFi无线网络全覆盖，提供设备无线接入网络的条件，并为平急转换预留冗余接入能力。</w:t>
      </w:r>
    </w:p>
    <w:p w14:paraId="1D3AB47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11.0.6 应设置公共广播系统。公共广播系统的宜按照污染区、潜在污染区、清洁区分区划分广播回路。公共广播系统应兼顾“平时”</w:t>
      </w:r>
      <w:r>
        <w:rPr>
          <w:rFonts w:hint="eastAsia" w:ascii="Times New Roman" w:hAnsi="Times New Roman" w:eastAsia="方正仿宋_GB2312" w:cs="Times New Roman"/>
          <w:b w:val="0"/>
          <w:bCs w:val="0"/>
          <w:color w:val="auto"/>
        </w:rPr>
        <w:t>服务</w:t>
      </w:r>
      <w:r>
        <w:rPr>
          <w:rFonts w:ascii="Times New Roman" w:hAnsi="Times New Roman" w:eastAsia="方正仿宋_GB2312" w:cs="Times New Roman"/>
          <w:b w:val="0"/>
          <w:bCs w:val="0"/>
          <w:color w:val="auto"/>
        </w:rPr>
        <w:t>和“急时”</w:t>
      </w:r>
      <w:r>
        <w:rPr>
          <w:rFonts w:hint="eastAsia" w:ascii="Times New Roman" w:hAnsi="Times New Roman" w:eastAsia="方正仿宋_GB2312" w:cs="Times New Roman"/>
          <w:b w:val="0"/>
          <w:bCs w:val="0"/>
          <w:color w:val="auto"/>
        </w:rPr>
        <w:t>应急功能</w:t>
      </w:r>
      <w:r>
        <w:rPr>
          <w:rFonts w:ascii="Times New Roman" w:hAnsi="Times New Roman" w:eastAsia="方正仿宋_GB2312" w:cs="Times New Roman"/>
          <w:b w:val="0"/>
          <w:bCs w:val="0"/>
          <w:color w:val="auto"/>
        </w:rPr>
        <w:t>，当发生紧急状况时应自动切换至应急广播</w:t>
      </w:r>
      <w:r>
        <w:rPr>
          <w:rFonts w:hint="eastAsia" w:ascii="Times New Roman" w:hAnsi="Times New Roman" w:eastAsia="方正仿宋_GB2312" w:cs="Times New Roman"/>
          <w:b w:val="0"/>
          <w:bCs w:val="0"/>
          <w:color w:val="auto"/>
        </w:rPr>
        <w:t>模式</w:t>
      </w:r>
      <w:r>
        <w:rPr>
          <w:rFonts w:ascii="Times New Roman" w:hAnsi="Times New Roman" w:eastAsia="方正仿宋_GB2312" w:cs="Times New Roman"/>
          <w:b w:val="0"/>
          <w:bCs w:val="0"/>
          <w:color w:val="auto"/>
        </w:rPr>
        <w:t>，广播信号可接入上级应急指挥中心。护士站</w:t>
      </w:r>
      <w:r>
        <w:rPr>
          <w:rFonts w:hint="eastAsia" w:ascii="Times New Roman" w:hAnsi="Times New Roman" w:eastAsia="方正仿宋_GB2312" w:cs="Times New Roman"/>
          <w:b w:val="0"/>
          <w:bCs w:val="0"/>
          <w:color w:val="auto"/>
        </w:rPr>
        <w:t>应</w:t>
      </w:r>
      <w:r>
        <w:rPr>
          <w:rFonts w:ascii="Times New Roman" w:hAnsi="Times New Roman" w:eastAsia="方正仿宋_GB2312" w:cs="Times New Roman"/>
          <w:b w:val="0"/>
          <w:bCs w:val="0"/>
          <w:color w:val="auto"/>
        </w:rPr>
        <w:t>设置公共广播系统音量调节装置</w:t>
      </w:r>
      <w:r>
        <w:rPr>
          <w:rFonts w:hint="eastAsia" w:ascii="Times New Roman" w:hAnsi="Times New Roman" w:eastAsia="方正仿宋_GB2312" w:cs="Times New Roman"/>
          <w:b w:val="0"/>
          <w:bCs w:val="0"/>
          <w:color w:val="auto"/>
        </w:rPr>
        <w:t>及本地音源输入接口</w:t>
      </w:r>
      <w:r>
        <w:rPr>
          <w:rFonts w:ascii="Times New Roman" w:hAnsi="Times New Roman" w:eastAsia="方正仿宋_GB2312" w:cs="Times New Roman"/>
          <w:b w:val="0"/>
          <w:bCs w:val="0"/>
          <w:color w:val="auto"/>
        </w:rPr>
        <w:t>。</w:t>
      </w:r>
    </w:p>
    <w:p w14:paraId="702A2AD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w:t>
      </w:r>
      <w:r>
        <w:rPr>
          <w:rFonts w:hint="eastAsia" w:ascii="Times New Roman" w:hAnsi="Times New Roman" w:eastAsia="方正仿宋_GB2312" w:cs="Times New Roman"/>
          <w:b w:val="0"/>
          <w:bCs w:val="0"/>
          <w:color w:val="auto"/>
        </w:rPr>
        <w:t>7</w:t>
      </w:r>
      <w:r>
        <w:rPr>
          <w:rFonts w:ascii="Times New Roman" w:hAnsi="Times New Roman" w:eastAsia="方正仿宋_GB2312" w:cs="Times New Roman"/>
          <w:b w:val="0"/>
          <w:bCs w:val="0"/>
          <w:color w:val="auto"/>
        </w:rPr>
        <w:t xml:space="preserve"> 应设置视频监控系统，在建筑各出入口、病区、病区单元出入口、走道、重要设备机房、个人防护穿戴和脱卸区，室外出入口、主干道、周界、医废和污物存放点、污水监测点和处理间、隔离人流物流和物流交接等重要环节和部位均应无死角设置监控摄像机。污染区入口处宜预留人脸识别系统接口，人脸识别前端设备宜具有体温监测功能。污染区摄像机宜具备异动侦测及联动公共广播喊话功能。</w:t>
      </w:r>
    </w:p>
    <w:p w14:paraId="1CB9A23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w:t>
      </w:r>
      <w:r>
        <w:rPr>
          <w:rFonts w:hint="eastAsia" w:ascii="Times New Roman" w:hAnsi="Times New Roman" w:eastAsia="方正仿宋_GB2312" w:cs="Times New Roman"/>
          <w:b w:val="0"/>
          <w:bCs w:val="0"/>
          <w:color w:val="auto"/>
        </w:rPr>
        <w:t>8</w:t>
      </w:r>
      <w:r>
        <w:rPr>
          <w:rFonts w:ascii="Times New Roman" w:hAnsi="Times New Roman" w:eastAsia="方正仿宋_GB2312" w:cs="Times New Roman"/>
          <w:b w:val="0"/>
          <w:bCs w:val="0"/>
          <w:color w:val="auto"/>
        </w:rPr>
        <w:t xml:space="preserve"> 出入口控制系统应根据医疗流线设置，采用非接触式控制方式。污染区病房房门宜安装门磁（联网型）或报警探测器，应能在“急时”对污染区病房房门开启进行延时报警。</w:t>
      </w:r>
    </w:p>
    <w:p w14:paraId="1890EF6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w:t>
      </w:r>
      <w:r>
        <w:rPr>
          <w:rFonts w:hint="eastAsia" w:ascii="Times New Roman" w:hAnsi="Times New Roman" w:eastAsia="方正仿宋_GB2312" w:cs="Times New Roman"/>
          <w:b w:val="0"/>
          <w:bCs w:val="0"/>
          <w:color w:val="auto"/>
        </w:rPr>
        <w:t>9</w:t>
      </w:r>
      <w:r>
        <w:rPr>
          <w:rFonts w:ascii="Times New Roman" w:hAnsi="Times New Roman" w:eastAsia="方正仿宋_GB2312" w:cs="Times New Roman"/>
          <w:b w:val="0"/>
          <w:bCs w:val="0"/>
          <w:color w:val="auto"/>
        </w:rPr>
        <w:t xml:space="preserve"> 卫生通过区房间门应设置互锁功能的门禁控制系统；有穿戴和脱卸功能的房间内应设置双向对讲系统，可实现穿戴和脱卸间内与本地控制室实时双向对讲功能</w:t>
      </w:r>
      <w:r>
        <w:rPr>
          <w:rFonts w:hint="eastAsia" w:ascii="Times New Roman" w:hAnsi="Times New Roman" w:eastAsia="方正仿宋_GB2312" w:cs="Times New Roman"/>
          <w:b w:val="0"/>
          <w:bCs w:val="0"/>
          <w:color w:val="auto"/>
        </w:rPr>
        <w:t>，</w:t>
      </w:r>
      <w:r>
        <w:rPr>
          <w:rFonts w:ascii="Times New Roman" w:hAnsi="Times New Roman" w:eastAsia="方正仿宋_GB2312" w:cs="Times New Roman"/>
          <w:b w:val="0"/>
          <w:bCs w:val="0"/>
          <w:color w:val="auto"/>
        </w:rPr>
        <w:t>对讲功能宜通过非接触式方式开启。</w:t>
      </w:r>
    </w:p>
    <w:p w14:paraId="0B3DDB1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11.0.10</w:t>
      </w:r>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建筑内“平时”和“急时”设置了门禁系统的疏散门，应保证火灾时能通过消防联动控制器或其他自动解锁装置快速解除门禁。</w:t>
      </w:r>
    </w:p>
    <w:p w14:paraId="5F0B384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11.0.1</w:t>
      </w:r>
      <w:r>
        <w:rPr>
          <w:rFonts w:hint="eastAsia" w:ascii="Times New Roman" w:hAnsi="Times New Roman" w:eastAsia="方正仿宋_GB2312" w:cs="Times New Roman"/>
          <w:b w:val="0"/>
          <w:bCs w:val="0"/>
          <w:color w:val="auto"/>
        </w:rPr>
        <w:t>1</w:t>
      </w:r>
      <w:r>
        <w:rPr>
          <w:rFonts w:ascii="Times New Roman" w:hAnsi="Times New Roman" w:eastAsia="方正仿宋_GB2312" w:cs="Times New Roman"/>
          <w:b w:val="0"/>
          <w:bCs w:val="0"/>
          <w:color w:val="auto"/>
        </w:rPr>
        <w:t xml:space="preserve"> 重症监护室宜设置远程会诊系统或预留安装条件。隔离重症监护床位应设置护理呼叫信号系统、探视系统，实现语音或视频双向通讯，系统主机应设在护士站。</w:t>
      </w:r>
    </w:p>
    <w:p w14:paraId="4C79FE3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11.0.1</w:t>
      </w:r>
      <w:r>
        <w:rPr>
          <w:rFonts w:hint="eastAsia" w:ascii="Times New Roman" w:hAnsi="Times New Roman" w:eastAsia="方正仿宋_GB2312" w:cs="Times New Roman"/>
          <w:b w:val="0"/>
          <w:bCs w:val="0"/>
          <w:color w:val="auto"/>
        </w:rPr>
        <w:t>2</w:t>
      </w:r>
      <w:r>
        <w:rPr>
          <w:rFonts w:ascii="Times New Roman" w:hAnsi="Times New Roman" w:eastAsia="方正仿宋_GB2312" w:cs="Times New Roman"/>
          <w:b w:val="0"/>
          <w:bCs w:val="0"/>
          <w:color w:val="auto"/>
        </w:rPr>
        <w:t xml:space="preserve"> “平急两用”空间应根据医疗工艺对压差检测和风阀的控制要求，设置建筑设备监控系统</w:t>
      </w:r>
      <w:r>
        <w:rPr>
          <w:rFonts w:hint="eastAsia" w:ascii="Times New Roman" w:hAnsi="Times New Roman" w:eastAsia="方正仿宋_GB2312" w:cs="Times New Roman"/>
          <w:b w:val="0"/>
          <w:bCs w:val="0"/>
          <w:color w:val="auto"/>
        </w:rPr>
        <w:t>，对其</w:t>
      </w:r>
      <w:r>
        <w:rPr>
          <w:rFonts w:ascii="Times New Roman" w:hAnsi="Times New Roman" w:eastAsia="方正仿宋_GB2312" w:cs="Times New Roman"/>
          <w:b w:val="0"/>
          <w:bCs w:val="0"/>
          <w:color w:val="auto"/>
        </w:rPr>
        <w:t>进行</w:t>
      </w:r>
      <w:r>
        <w:rPr>
          <w:rFonts w:hint="eastAsia" w:ascii="Times New Roman" w:hAnsi="Times New Roman" w:eastAsia="方正仿宋_GB2312" w:cs="Times New Roman"/>
          <w:b w:val="0"/>
          <w:bCs w:val="0"/>
          <w:color w:val="auto"/>
        </w:rPr>
        <w:t>监测</w:t>
      </w:r>
      <w:r>
        <w:rPr>
          <w:rFonts w:ascii="Times New Roman" w:hAnsi="Times New Roman" w:eastAsia="方正仿宋_GB2312" w:cs="Times New Roman"/>
          <w:b w:val="0"/>
          <w:bCs w:val="0"/>
          <w:color w:val="auto"/>
        </w:rPr>
        <w:t>、控制和管理，并应在压差</w:t>
      </w:r>
      <w:r>
        <w:rPr>
          <w:rFonts w:hint="eastAsia" w:ascii="Times New Roman" w:hAnsi="Times New Roman" w:eastAsia="方正仿宋_GB2312" w:cs="Times New Roman"/>
          <w:b w:val="0"/>
          <w:bCs w:val="0"/>
          <w:color w:val="auto"/>
        </w:rPr>
        <w:t>监</w:t>
      </w:r>
      <w:r>
        <w:rPr>
          <w:rFonts w:ascii="Times New Roman" w:hAnsi="Times New Roman" w:eastAsia="方正仿宋_GB2312" w:cs="Times New Roman"/>
          <w:b w:val="0"/>
          <w:bCs w:val="0"/>
          <w:color w:val="auto"/>
        </w:rPr>
        <w:t>测点及护士站附近设置报警装置。</w:t>
      </w:r>
    </w:p>
    <w:p w14:paraId="7F1A4D5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p>
    <w:p w14:paraId="2F15AF6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p>
    <w:p w14:paraId="6DF740F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11.0.1</w:t>
      </w:r>
      <w:r>
        <w:rPr>
          <w:rFonts w:hint="eastAsia" w:ascii="Times New Roman" w:hAnsi="Times New Roman" w:eastAsia="方正仿宋_GB2312" w:cs="Times New Roman"/>
          <w:b w:val="0"/>
          <w:bCs w:val="0"/>
          <w:color w:val="auto"/>
        </w:rPr>
        <w:t>3</w:t>
      </w:r>
      <w:r>
        <w:rPr>
          <w:rFonts w:ascii="Times New Roman" w:hAnsi="Times New Roman" w:eastAsia="方正仿宋_GB2312" w:cs="Times New Roman"/>
          <w:b w:val="0"/>
          <w:bCs w:val="0"/>
          <w:color w:val="auto"/>
        </w:rPr>
        <w:t xml:space="preserve"> 应结合“急时”建筑功能布局预留“急时”火灾自动报警系统设备及管线。火灾报警控制器及回路连接设备数量应根据建筑布局变化留有充分的裕量。</w:t>
      </w:r>
    </w:p>
    <w:p w14:paraId="4183F3D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11.0.1</w:t>
      </w:r>
      <w:r>
        <w:rPr>
          <w:rFonts w:hint="eastAsia" w:ascii="Times New Roman" w:hAnsi="Times New Roman" w:eastAsia="方正仿宋_GB2312" w:cs="Times New Roman"/>
          <w:b w:val="0"/>
          <w:bCs w:val="0"/>
          <w:color w:val="auto"/>
        </w:rPr>
        <w:t>4</w:t>
      </w:r>
      <w:r>
        <w:rPr>
          <w:rFonts w:ascii="Times New Roman" w:hAnsi="Times New Roman" w:eastAsia="方正仿宋_GB2312" w:cs="Times New Roman"/>
          <w:b w:val="0"/>
          <w:bCs w:val="0"/>
          <w:color w:val="auto"/>
        </w:rPr>
        <w:t xml:space="preserve"> 智能化系统管线穿越防火分区隔墙的缝隙</w:t>
      </w:r>
      <w:r>
        <w:rPr>
          <w:rFonts w:hint="eastAsia" w:ascii="Times New Roman" w:hAnsi="Times New Roman" w:eastAsia="方正仿宋_GB2312" w:cs="Times New Roman"/>
          <w:b w:val="0"/>
          <w:bCs w:val="0"/>
          <w:color w:val="auto"/>
        </w:rPr>
        <w:t>、</w:t>
      </w:r>
      <w:r>
        <w:rPr>
          <w:rFonts w:ascii="Times New Roman" w:hAnsi="Times New Roman" w:eastAsia="方正仿宋_GB2312" w:cs="Times New Roman"/>
          <w:b w:val="0"/>
          <w:bCs w:val="0"/>
          <w:color w:val="auto"/>
        </w:rPr>
        <w:t>槽口</w:t>
      </w:r>
      <w:r>
        <w:rPr>
          <w:rFonts w:hint="eastAsia" w:ascii="Times New Roman" w:hAnsi="Times New Roman" w:eastAsia="方正仿宋_GB2312" w:cs="Times New Roman"/>
          <w:b w:val="0"/>
          <w:bCs w:val="0"/>
          <w:color w:val="auto"/>
        </w:rPr>
        <w:t>及</w:t>
      </w:r>
      <w:r>
        <w:rPr>
          <w:rFonts w:ascii="Times New Roman" w:hAnsi="Times New Roman" w:eastAsia="方正仿宋_GB2312" w:cs="Times New Roman"/>
          <w:b w:val="0"/>
          <w:bCs w:val="0"/>
          <w:color w:val="auto"/>
        </w:rPr>
        <w:t>管口应采用不燃材料封堵。</w:t>
      </w:r>
    </w:p>
    <w:p w14:paraId="614C5C05">
      <w:pPr>
        <w:rPr>
          <w:rFonts w:ascii="宋体" w:hAnsi="宋体" w:eastAsia="宋体"/>
          <w:sz w:val="28"/>
          <w:szCs w:val="28"/>
        </w:rPr>
      </w:pPr>
      <w:r>
        <w:rPr>
          <w:rFonts w:ascii="宋体" w:hAnsi="宋体" w:eastAsia="宋体"/>
          <w:sz w:val="28"/>
          <w:szCs w:val="28"/>
        </w:rPr>
        <w:br w:type="page"/>
      </w:r>
    </w:p>
    <w:p w14:paraId="58716043">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b w:val="0"/>
          <w:snapToGrid w:val="0"/>
          <w:kern w:val="0"/>
          <w:sz w:val="40"/>
          <w:szCs w:val="40"/>
          <w:lang w:eastAsia="en-US"/>
        </w:rPr>
      </w:pPr>
      <w:bookmarkStart w:id="29" w:name="_Toc205393803"/>
      <w:r>
        <w:rPr>
          <w:rFonts w:hint="eastAsia" w:ascii="Times New Roman" w:hAnsi="Times New Roman" w:eastAsia="黑体"/>
          <w:b w:val="0"/>
          <w:snapToGrid w:val="0"/>
          <w:kern w:val="0"/>
          <w:sz w:val="40"/>
          <w:szCs w:val="40"/>
          <w:lang w:eastAsia="en-US"/>
        </w:rPr>
        <w:t xml:space="preserve">12 </w:t>
      </w:r>
      <w:r>
        <w:rPr>
          <w:rFonts w:ascii="Times New Roman" w:hAnsi="Times New Roman" w:eastAsia="黑体"/>
          <w:b w:val="0"/>
          <w:snapToGrid w:val="0"/>
          <w:kern w:val="0"/>
          <w:sz w:val="40"/>
          <w:szCs w:val="40"/>
          <w:lang w:eastAsia="en-US"/>
        </w:rPr>
        <w:t xml:space="preserve"> </w:t>
      </w:r>
      <w:r>
        <w:rPr>
          <w:rFonts w:hint="eastAsia" w:ascii="Times New Roman" w:hAnsi="Times New Roman" w:eastAsia="黑体"/>
          <w:b w:val="0"/>
          <w:snapToGrid w:val="0"/>
          <w:kern w:val="0"/>
          <w:sz w:val="40"/>
          <w:szCs w:val="40"/>
          <w:lang w:eastAsia="en-US"/>
        </w:rPr>
        <w:t>医用气</w:t>
      </w:r>
      <w:r>
        <w:rPr>
          <w:rFonts w:hint="eastAsia" w:ascii="Times New Roman" w:hAnsi="Times New Roman" w:eastAsia="黑体"/>
          <w:b w:val="0"/>
          <w:snapToGrid w:val="0"/>
          <w:kern w:val="0"/>
          <w:sz w:val="40"/>
          <w:szCs w:val="40"/>
        </w:rPr>
        <w:t>体</w:t>
      </w:r>
    </w:p>
    <w:bookmarkEnd w:id="29"/>
    <w:p w14:paraId="3AA43B4D">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b w:val="0"/>
          <w:snapToGrid w:val="0"/>
          <w:kern w:val="0"/>
          <w:sz w:val="40"/>
          <w:szCs w:val="40"/>
          <w:lang w:eastAsia="en-US"/>
        </w:rPr>
      </w:pPr>
      <w:r>
        <w:rPr>
          <w:rFonts w:hint="eastAsia" w:ascii="Times New Roman" w:hAnsi="Times New Roman" w:eastAsia="黑体"/>
          <w:b w:val="0"/>
          <w:snapToGrid w:val="0"/>
          <w:kern w:val="0"/>
          <w:sz w:val="40"/>
          <w:szCs w:val="40"/>
          <w:lang w:eastAsia="en-US"/>
        </w:rPr>
        <w:t xml:space="preserve"> </w:t>
      </w:r>
    </w:p>
    <w:p w14:paraId="4892473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12.0.1 “平急两用”医疗应急服务点病区应设置医用氧气、医疗空气、医用真空供应。</w:t>
      </w:r>
    </w:p>
    <w:p w14:paraId="6668B25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12.0.2 “平急两用”医疗应急服务点病区医用气体监测报警系统应设置气源、区域报警器和压力、流量监测，报警信号、压力、流量监测信号应接至楼控系统或医用气体集中监测报警系统</w:t>
      </w:r>
    </w:p>
    <w:p w14:paraId="0F7D66E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12.0.3 “平急两用”医疗应急服务点病区的医用氧气、医疗空气和医用真空主管道上应设置止回装置，止回装置应靠近污染区域。医疗应急服务点病区的医用真空管道及其附件不得穿越清洁区。</w:t>
      </w:r>
    </w:p>
    <w:p w14:paraId="0B271EB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12.0.4 医疗应急服务点病区的医用真空系统应独立设置，且不得使用液环式真空泵；真空泵吸入口应设置细菌过滤器，且一用一备，真空泵的排放气体应经消毒装置消毒处理后引至室外排放，排气口与空调通风系统进风口的间距不得小于20m且不低于地面5m，排气口应设有害气体警示。</w:t>
      </w:r>
    </w:p>
    <w:p w14:paraId="78D64BF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12.0.5 医疗应急服务点病区医用气体气源系统计算流量及管路，应按呼吸道传染病发生时的峰值流量需要确定，并应满足以下基本要求：</w:t>
      </w:r>
    </w:p>
    <w:p w14:paraId="0092E38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w:t>
      </w:r>
      <w:r>
        <w:rPr>
          <w:rFonts w:ascii="Times New Roman" w:hAnsi="Times New Roman" w:eastAsia="方正仿宋_GB2312" w:cs="Times New Roman"/>
          <w:b w:val="0"/>
          <w:bCs w:val="0"/>
          <w:color w:val="auto"/>
        </w:rPr>
        <w:t>2.0.5.1</w:t>
      </w:r>
      <w:r>
        <w:rPr>
          <w:rFonts w:hint="eastAsia" w:ascii="Times New Roman" w:hAnsi="Times New Roman" w:eastAsia="方正仿宋_GB2312" w:cs="Times New Roman"/>
          <w:b w:val="0"/>
          <w:bCs w:val="0"/>
          <w:color w:val="auto"/>
        </w:rPr>
        <w:t xml:space="preserve"> 病房普通输氧终端设计流量宜按每床6-10L/min设计，高流量输氧终端设计流量宜按每床15-25L/min设计，同时使用70-90％；</w:t>
      </w:r>
    </w:p>
    <w:p w14:paraId="427C38A3">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w:t>
      </w:r>
      <w:r>
        <w:rPr>
          <w:rFonts w:ascii="Times New Roman" w:hAnsi="Times New Roman" w:eastAsia="方正仿宋_GB2312" w:cs="Times New Roman"/>
          <w:b w:val="0"/>
          <w:bCs w:val="0"/>
          <w:color w:val="auto"/>
        </w:rPr>
        <w:t>2.0.5.2</w:t>
      </w:r>
      <w:r>
        <w:rPr>
          <w:rFonts w:hint="eastAsia" w:ascii="Times New Roman" w:hAnsi="Times New Roman" w:eastAsia="方正仿宋_GB2312" w:cs="Times New Roman"/>
          <w:b w:val="0"/>
          <w:bCs w:val="0"/>
          <w:color w:val="auto"/>
        </w:rPr>
        <w:t xml:space="preserve"> 重症救治床位输氧终端氧气设计流量宜按每床50-60L/min，同时使用率100％计算；</w:t>
      </w:r>
    </w:p>
    <w:p w14:paraId="2B060EF3">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w:t>
      </w:r>
      <w:r>
        <w:rPr>
          <w:rFonts w:ascii="Times New Roman" w:hAnsi="Times New Roman" w:eastAsia="方正仿宋_GB2312" w:cs="Times New Roman"/>
          <w:b w:val="0"/>
          <w:bCs w:val="0"/>
          <w:color w:val="auto"/>
        </w:rPr>
        <w:t>2.0.5.3</w:t>
      </w:r>
      <w:r>
        <w:rPr>
          <w:rFonts w:hint="eastAsia" w:ascii="Times New Roman" w:hAnsi="Times New Roman" w:eastAsia="方正仿宋_GB2312" w:cs="Times New Roman"/>
          <w:b w:val="0"/>
          <w:bCs w:val="0"/>
          <w:color w:val="auto"/>
        </w:rPr>
        <w:t xml:space="preserve"> 医用氧气系统供气压力宜按0.45-0.55MPa设计；</w:t>
      </w:r>
    </w:p>
    <w:p w14:paraId="752287D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w:t>
      </w:r>
      <w:r>
        <w:rPr>
          <w:rFonts w:ascii="Times New Roman" w:hAnsi="Times New Roman" w:eastAsia="方正仿宋_GB2312" w:cs="Times New Roman"/>
          <w:b w:val="0"/>
          <w:bCs w:val="0"/>
          <w:color w:val="auto"/>
        </w:rPr>
        <w:t>2.0.5.4</w:t>
      </w:r>
      <w:r>
        <w:rPr>
          <w:rFonts w:hint="eastAsia" w:ascii="Times New Roman" w:hAnsi="Times New Roman" w:eastAsia="方正仿宋_GB2312" w:cs="Times New Roman"/>
          <w:b w:val="0"/>
          <w:bCs w:val="0"/>
          <w:color w:val="auto"/>
        </w:rPr>
        <w:t xml:space="preserve"> 医疗空气、医用真空气源系统计算流量、压力按照现行国家标准《医用气体工程技术规范》GB 50751有关参数确定。</w:t>
      </w:r>
    </w:p>
    <w:p w14:paraId="77D88264">
      <w:pPr>
        <w:rPr>
          <w:rFonts w:ascii="宋体" w:hAnsi="宋体" w:eastAsia="宋体" w:cs="宋体"/>
          <w:sz w:val="28"/>
          <w:szCs w:val="28"/>
        </w:rPr>
      </w:pPr>
      <w:r>
        <w:rPr>
          <w:rFonts w:ascii="宋体" w:hAnsi="宋体" w:eastAsia="宋体" w:cs="宋体"/>
          <w:sz w:val="28"/>
          <w:szCs w:val="28"/>
        </w:rPr>
        <w:br w:type="page"/>
      </w:r>
    </w:p>
    <w:p w14:paraId="7064D574">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b w:val="0"/>
          <w:snapToGrid w:val="0"/>
          <w:kern w:val="0"/>
          <w:sz w:val="40"/>
          <w:szCs w:val="40"/>
          <w:lang w:eastAsia="en-US"/>
        </w:rPr>
      </w:pPr>
      <w:bookmarkStart w:id="30" w:name="_Toc205393804"/>
      <w:r>
        <w:rPr>
          <w:rFonts w:hint="eastAsia" w:ascii="Times New Roman" w:hAnsi="Times New Roman" w:eastAsia="黑体"/>
          <w:b w:val="0"/>
          <w:snapToGrid w:val="0"/>
          <w:kern w:val="0"/>
          <w:sz w:val="40"/>
          <w:szCs w:val="40"/>
          <w:lang w:eastAsia="en-US"/>
        </w:rPr>
        <w:t>13</w:t>
      </w:r>
      <w:r>
        <w:rPr>
          <w:rFonts w:ascii="Times New Roman" w:hAnsi="Times New Roman" w:eastAsia="黑体"/>
          <w:b w:val="0"/>
          <w:snapToGrid w:val="0"/>
          <w:kern w:val="0"/>
          <w:sz w:val="40"/>
          <w:szCs w:val="40"/>
          <w:lang w:eastAsia="en-US"/>
        </w:rPr>
        <w:t xml:space="preserve">  </w:t>
      </w:r>
      <w:r>
        <w:rPr>
          <w:rFonts w:hint="eastAsia" w:ascii="Times New Roman" w:hAnsi="Times New Roman" w:eastAsia="黑体"/>
          <w:b w:val="0"/>
          <w:snapToGrid w:val="0"/>
          <w:kern w:val="0"/>
          <w:sz w:val="40"/>
          <w:szCs w:val="40"/>
          <w:lang w:eastAsia="en-US"/>
        </w:rPr>
        <w:t>平急转</w:t>
      </w:r>
      <w:r>
        <w:rPr>
          <w:rFonts w:hint="eastAsia" w:ascii="Times New Roman" w:hAnsi="Times New Roman" w:eastAsia="黑体"/>
          <w:b w:val="0"/>
          <w:snapToGrid w:val="0"/>
          <w:kern w:val="0"/>
          <w:sz w:val="40"/>
          <w:szCs w:val="40"/>
        </w:rPr>
        <w:t>换</w:t>
      </w:r>
    </w:p>
    <w:bookmarkEnd w:id="30"/>
    <w:p w14:paraId="643DB1E1">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b w:val="0"/>
          <w:snapToGrid w:val="0"/>
          <w:kern w:val="0"/>
          <w:sz w:val="40"/>
          <w:szCs w:val="40"/>
          <w:lang w:eastAsia="en-US"/>
        </w:rPr>
      </w:pPr>
    </w:p>
    <w:p w14:paraId="00FF7D8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13.</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1 “平急两用”公共基础设施的平急转换应快速、顺畅，转换前、后应满足相关政策规范要求。</w:t>
      </w:r>
    </w:p>
    <w:p w14:paraId="220E4FD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13.</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2 “平急”转换应遵循以下基本原则：</w:t>
      </w:r>
    </w:p>
    <w:p w14:paraId="4E140B1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w:t>
      </w:r>
      <w:r>
        <w:rPr>
          <w:rFonts w:ascii="Times New Roman" w:hAnsi="Times New Roman" w:eastAsia="方正仿宋_GB2312" w:cs="Times New Roman"/>
          <w:b w:val="0"/>
          <w:bCs w:val="0"/>
          <w:color w:val="auto"/>
        </w:rPr>
        <w:t>3.0.2.1</w:t>
      </w:r>
      <w:r>
        <w:rPr>
          <w:rFonts w:hint="eastAsia" w:ascii="Times New Roman" w:hAnsi="Times New Roman" w:eastAsia="方正仿宋_GB2312" w:cs="Times New Roman"/>
          <w:b w:val="0"/>
          <w:bCs w:val="0"/>
          <w:color w:val="auto"/>
        </w:rPr>
        <w:t xml:space="preserve"> “平急”转换时应充分利用原平面格局，便于复原可逆；</w:t>
      </w:r>
    </w:p>
    <w:p w14:paraId="6582316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w:t>
      </w:r>
      <w:r>
        <w:rPr>
          <w:rFonts w:ascii="Times New Roman" w:hAnsi="Times New Roman" w:eastAsia="方正仿宋_GB2312" w:cs="Times New Roman"/>
          <w:b w:val="0"/>
          <w:bCs w:val="0"/>
          <w:color w:val="auto"/>
        </w:rPr>
        <w:t>3.0.2.2</w:t>
      </w:r>
      <w:r>
        <w:rPr>
          <w:rFonts w:hint="eastAsia" w:ascii="Times New Roman" w:hAnsi="Times New Roman" w:eastAsia="方正仿宋_GB2312" w:cs="Times New Roman"/>
          <w:b w:val="0"/>
          <w:bCs w:val="0"/>
          <w:color w:val="auto"/>
        </w:rPr>
        <w:t xml:space="preserve"> “平急”转换时宜尽量沿用原有建筑构件；</w:t>
      </w:r>
    </w:p>
    <w:p w14:paraId="4EF7B9B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w:t>
      </w:r>
      <w:r>
        <w:rPr>
          <w:rFonts w:ascii="Times New Roman" w:hAnsi="Times New Roman" w:eastAsia="方正仿宋_GB2312" w:cs="Times New Roman"/>
          <w:b w:val="0"/>
          <w:bCs w:val="0"/>
          <w:color w:val="auto"/>
        </w:rPr>
        <w:t>3.0.2.3</w:t>
      </w:r>
      <w:r>
        <w:rPr>
          <w:rFonts w:hint="eastAsia" w:ascii="Times New Roman" w:hAnsi="Times New Roman" w:eastAsia="方正仿宋_GB2312" w:cs="Times New Roman"/>
          <w:b w:val="0"/>
          <w:bCs w:val="0"/>
          <w:color w:val="auto"/>
        </w:rPr>
        <w:t xml:space="preserve"> 应考虑应急状态下功能转换对楼面结构荷载的要求；</w:t>
      </w:r>
    </w:p>
    <w:p w14:paraId="439B9DC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w:t>
      </w:r>
      <w:r>
        <w:rPr>
          <w:rFonts w:ascii="Times New Roman" w:hAnsi="Times New Roman" w:eastAsia="方正仿宋_GB2312" w:cs="Times New Roman"/>
          <w:b w:val="0"/>
          <w:bCs w:val="0"/>
          <w:color w:val="auto"/>
        </w:rPr>
        <w:t>3.0.2.4</w:t>
      </w:r>
      <w:r>
        <w:rPr>
          <w:rFonts w:hint="eastAsia" w:ascii="Times New Roman" w:hAnsi="Times New Roman" w:eastAsia="方正仿宋_GB2312" w:cs="Times New Roman"/>
          <w:b w:val="0"/>
          <w:bCs w:val="0"/>
          <w:color w:val="auto"/>
        </w:rPr>
        <w:t xml:space="preserve"> 在原建筑外增设临时使用功能时，宜采用装配式模式贴邻原建筑进行建造。</w:t>
      </w:r>
    </w:p>
    <w:p w14:paraId="28360D9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13.</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3 “平急两用”医疗应急服务点的设计应编制平急转换设计专篇（包含“平时”使用设计图纸、“急时”隔离设计图纸、场所预留设计图纸等，急时的建筑空间重新划分说明、急时的管制要求、“急时”“三区两通道”分区示意图和流线组织、机电运行、隔离措施，以及平急转换技术措施说明、转换工程量、转换设备材料清单等）。</w:t>
      </w:r>
    </w:p>
    <w:p w14:paraId="73A2586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13.</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4 平急转换后：不应占用原有消防车道、消防救援场地；不宜改变建筑原有防火分区的划分，应尽量利用原建筑中的消防疏散通道及安全出口；“急时”设置的各管控区域和通道，不得破坏防火分区和疏散楼梯、疏散走道设置的完整性、消防联动性；临时诊疗设备、设施的摆放不应影响疏散通行宽度，严禁占用疏散通道。</w:t>
      </w:r>
    </w:p>
    <w:p w14:paraId="07E09567">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13.</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5 “急时”功能宜与“平时”功能同步建设，确有困难且施工期短的设施可预留场地与接口，“急时”可采用移动方舱或装配式部品安装施工。</w:t>
      </w:r>
    </w:p>
    <w:p w14:paraId="23E5DF2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13.</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6 平急转换后的无障碍设计应满足无障碍规范要求。</w:t>
      </w:r>
    </w:p>
    <w:p w14:paraId="1650F173">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13.</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7 平急转换后的室内外导视牌标识应符合平急使用场地导视牌标识要求。</w:t>
      </w:r>
    </w:p>
    <w:p w14:paraId="0EBB4023">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13.</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8 “平时”转为“急时”时，应按照“急时”设计图查验场地和建筑内部，做到无关功能退场，撤掉的物品宜存放在库房中。</w:t>
      </w:r>
    </w:p>
    <w:p w14:paraId="183BE16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13.</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9 “平时”转为“急时”时，应按照“急时”设计图划分“三区两通道”的边界，设置物理隔断或明显标识，完成“急时”场所分区。</w:t>
      </w:r>
    </w:p>
    <w:p w14:paraId="700B134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13.</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 xml:space="preserve">10 “平时”转为“急时”时，应按照“急时”设计图，将涉及的公共空间门、房间门切换到相应的门禁状态，完成“急时”建筑功能分区，并按照“急时”功能，布置室内、室外标识系统。 </w:t>
      </w:r>
    </w:p>
    <w:p w14:paraId="21CD243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13.</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11 紧急情况结束后，宜快速、便捷地恢复建筑原有功能，满足日常运营需求。</w:t>
      </w:r>
    </w:p>
    <w:p w14:paraId="594B953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13.</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12 “急时”恢复“平时”时，宜将移动围栏、标识牌等“急时”特有的物品存放在专用库房内。</w:t>
      </w:r>
    </w:p>
    <w:p w14:paraId="118FBE6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13.</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13 平急转换时，空调通风系统应进行控制系统模式转换，分别满足“平时”和“急时”状态空调通风系统控制需要。</w:t>
      </w:r>
    </w:p>
    <w:p w14:paraId="47EFBE6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13.</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14 平急转换时，空调通风系统阀门应进行切换，转换运行状态。</w:t>
      </w:r>
    </w:p>
    <w:p w14:paraId="6801C21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13.</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15 空调通风系统过滤、防护装置应按“急时”运行状态设计要求进行安装，满足“急时”运行需要。</w:t>
      </w:r>
    </w:p>
    <w:p w14:paraId="4219F140">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13.</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16 可根据“急时”状态需要，设置移动供暖、通风、空调及净化设备。</w:t>
      </w:r>
    </w:p>
    <w:p w14:paraId="2B46FA4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13.</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17 建筑外墙预留的应急移动发电车供电接口套管，“平时”应做好防火封堵处理，“急时”接入应急电源电缆至变电所发电车进线柜。</w:t>
      </w:r>
    </w:p>
    <w:p w14:paraId="68AD5A7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13.</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18 结合“平急两用”需要，宜将“急时”所需的配电桥架、线槽、保护管等先期预埋到位，但不应影响“平时”正常使用功能和建筑观感。</w:t>
      </w:r>
    </w:p>
    <w:p w14:paraId="3195ABB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13.</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19 根据“平急两用”需要，应结合项目规模、应急隔离人员数量，采取平急结合的方式配置男女公共卫生间数量以及专用清洁、清洗场所。</w:t>
      </w:r>
    </w:p>
    <w:p w14:paraId="48E085C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13.</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20 根据“平急两用”需要，应在保证“平时”高效运行的前提下，应预留储存应急期间水量及供水设备的条件。“急时”可以迅速满足储存水量要求并将设备安装到位。</w:t>
      </w:r>
    </w:p>
    <w:p w14:paraId="15771C4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lang w:eastAsia="zh-CN"/>
        </w:rPr>
      </w:pPr>
      <w:r>
        <w:rPr>
          <w:rFonts w:hint="eastAsia" w:ascii="Times New Roman" w:hAnsi="Times New Roman" w:eastAsia="方正仿宋_GB2312" w:cs="Times New Roman"/>
          <w:b w:val="0"/>
          <w:bCs w:val="0"/>
          <w:color w:val="auto"/>
        </w:rPr>
        <w:t>13.</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21 平急转换时，当各系统管道穿越的区域，其生物安全等级发生变化时，不同分区处楼板、墙体均应采取密封措施，防止不同空间的空气相互渗透。</w:t>
      </w:r>
    </w:p>
    <w:p w14:paraId="6638891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13.</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22 污水处理应采取平急结合的方式，保证安全可靠，经济合理。</w:t>
      </w:r>
    </w:p>
    <w:p w14:paraId="5A42CB5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13.</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23 应急期间的临时板房、物理隔断、设施等使用的材料：其耐火性能、污染指标应符合相关消防、环保的标准和规定；其装修构件和材料应选用难燃或不燃材料，并应符合现行国家标准《建筑防火通用规范》GB 55037和《建筑内部装修设计防火规范》GB 50222的规定。</w:t>
      </w:r>
    </w:p>
    <w:p w14:paraId="207FE88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13.</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24 新建及既有建筑改造的“平急两用”医疗应急服务点除满足本导则要求外，还应符合现行相关的法律法规及技术标准的规定，并应根据平急转换前后功能的改变，进行一体化设计。</w:t>
      </w:r>
    </w:p>
    <w:p w14:paraId="0E4AAE27">
      <w:pPr>
        <w:widowControl/>
        <w:suppressLineNumbers/>
        <w:wordWrap w:val="0"/>
        <w:topLinePunct/>
        <w:spacing w:before="280" w:after="280" w:line="360" w:lineRule="auto"/>
        <w:contextualSpacing/>
        <w:rPr>
          <w:rFonts w:ascii="宋体" w:hAnsi="宋体" w:eastAsia="宋体"/>
          <w:color w:val="000000"/>
          <w:sz w:val="28"/>
          <w:szCs w:val="28"/>
        </w:rPr>
      </w:pPr>
      <w:r>
        <w:rPr>
          <w:rFonts w:ascii="宋体" w:hAnsi="宋体" w:eastAsia="宋体"/>
          <w:color w:val="000000"/>
          <w:sz w:val="28"/>
          <w:szCs w:val="28"/>
        </w:rPr>
        <w:br w:type="page"/>
      </w:r>
    </w:p>
    <w:p w14:paraId="17DE69E0">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b w:val="0"/>
          <w:snapToGrid w:val="0"/>
          <w:kern w:val="0"/>
          <w:sz w:val="40"/>
          <w:szCs w:val="40"/>
          <w:lang w:eastAsia="en-US"/>
        </w:rPr>
      </w:pPr>
      <w:bookmarkStart w:id="31" w:name="_Toc205393805"/>
      <w:r>
        <w:rPr>
          <w:rFonts w:hint="eastAsia" w:ascii="Times New Roman" w:hAnsi="Times New Roman" w:eastAsia="黑体"/>
          <w:b w:val="0"/>
          <w:snapToGrid w:val="0"/>
          <w:kern w:val="0"/>
          <w:sz w:val="40"/>
          <w:szCs w:val="40"/>
          <w:lang w:eastAsia="en-US"/>
        </w:rPr>
        <w:t>1</w:t>
      </w:r>
      <w:r>
        <w:rPr>
          <w:rFonts w:ascii="Times New Roman" w:hAnsi="Times New Roman" w:eastAsia="黑体"/>
          <w:b w:val="0"/>
          <w:snapToGrid w:val="0"/>
          <w:kern w:val="0"/>
          <w:sz w:val="40"/>
          <w:szCs w:val="40"/>
          <w:lang w:eastAsia="en-US"/>
        </w:rPr>
        <w:t xml:space="preserve">4  </w:t>
      </w:r>
      <w:r>
        <w:rPr>
          <w:rFonts w:hint="eastAsia" w:ascii="Times New Roman" w:hAnsi="Times New Roman" w:eastAsia="黑体"/>
          <w:b w:val="0"/>
          <w:snapToGrid w:val="0"/>
          <w:kern w:val="0"/>
          <w:sz w:val="40"/>
          <w:szCs w:val="40"/>
          <w:lang w:eastAsia="en-US"/>
        </w:rPr>
        <w:t>运营维</w:t>
      </w:r>
      <w:r>
        <w:rPr>
          <w:rFonts w:hint="eastAsia" w:ascii="Times New Roman" w:hAnsi="Times New Roman" w:eastAsia="黑体"/>
          <w:b w:val="0"/>
          <w:snapToGrid w:val="0"/>
          <w:kern w:val="0"/>
          <w:sz w:val="40"/>
          <w:szCs w:val="40"/>
        </w:rPr>
        <w:t>护</w:t>
      </w:r>
    </w:p>
    <w:bookmarkEnd w:id="31"/>
    <w:p w14:paraId="179921D7">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b w:val="0"/>
          <w:snapToGrid w:val="0"/>
          <w:kern w:val="0"/>
          <w:sz w:val="40"/>
          <w:szCs w:val="40"/>
          <w:lang w:eastAsia="en-US"/>
        </w:rPr>
      </w:pPr>
    </w:p>
    <w:p w14:paraId="391BAFC7">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14</w:t>
      </w:r>
      <w:r>
        <w:rPr>
          <w:rFonts w:hint="eastAsia" w:ascii="Times New Roman" w:hAnsi="Times New Roman" w:eastAsia="方正仿宋_GB2312" w:cs="Times New Roman"/>
          <w:b w:val="0"/>
          <w:bCs w:val="0"/>
          <w:color w:val="auto"/>
        </w:rPr>
        <w:t>.0.1</w:t>
      </w:r>
      <w:bookmarkStart w:id="32" w:name="_Hlk204761431"/>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“平急两用”医疗应急服务点</w:t>
      </w:r>
      <w:bookmarkEnd w:id="32"/>
      <w:r>
        <w:rPr>
          <w:rFonts w:hint="eastAsia" w:ascii="Times New Roman" w:hAnsi="Times New Roman" w:eastAsia="方正仿宋_GB2312" w:cs="Times New Roman"/>
          <w:b w:val="0"/>
          <w:bCs w:val="0"/>
          <w:color w:val="auto"/>
        </w:rPr>
        <w:t>应当结合基础设施条件和日常使用情况，及时完善“急时”转换方案，并制订“平时”和“急时”的运行管理方案。</w:t>
      </w:r>
    </w:p>
    <w:p w14:paraId="615443B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w:t>
      </w:r>
      <w:r>
        <w:rPr>
          <w:rFonts w:ascii="Times New Roman" w:hAnsi="Times New Roman" w:eastAsia="方正仿宋_GB2312" w:cs="Times New Roman"/>
          <w:b w:val="0"/>
          <w:bCs w:val="0"/>
          <w:color w:val="auto"/>
        </w:rPr>
        <w:t>4</w:t>
      </w:r>
      <w:r>
        <w:rPr>
          <w:rFonts w:hint="eastAsia" w:ascii="Times New Roman" w:hAnsi="Times New Roman" w:eastAsia="方正仿宋_GB2312" w:cs="Times New Roman"/>
          <w:b w:val="0"/>
          <w:bCs w:val="0"/>
          <w:color w:val="auto"/>
        </w:rPr>
        <w:t>.0.2</w:t>
      </w:r>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应定期对“平急两用”医疗应急服务点设施进行检查和维护，启用前应对设施和设备进行应急转换评估。</w:t>
      </w:r>
    </w:p>
    <w:p w14:paraId="5357B717">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w:t>
      </w:r>
      <w:r>
        <w:rPr>
          <w:rFonts w:ascii="Times New Roman" w:hAnsi="Times New Roman" w:eastAsia="方正仿宋_GB2312" w:cs="Times New Roman"/>
          <w:b w:val="0"/>
          <w:bCs w:val="0"/>
          <w:color w:val="auto"/>
        </w:rPr>
        <w:t>4</w:t>
      </w:r>
      <w:r>
        <w:rPr>
          <w:rFonts w:hint="eastAsia" w:ascii="Times New Roman" w:hAnsi="Times New Roman" w:eastAsia="方正仿宋_GB2312" w:cs="Times New Roman"/>
          <w:b w:val="0"/>
          <w:bCs w:val="0"/>
          <w:color w:val="auto"/>
        </w:rPr>
        <w:t>.0.3</w:t>
      </w:r>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“平急两用”医疗应急服务点设施应根据需要统筹储备必要的设备及物资，满足“急时”运行的基本要求。</w:t>
      </w:r>
    </w:p>
    <w:p w14:paraId="20CAE82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w:t>
      </w:r>
      <w:r>
        <w:rPr>
          <w:rFonts w:ascii="Times New Roman" w:hAnsi="Times New Roman" w:eastAsia="方正仿宋_GB2312" w:cs="Times New Roman"/>
          <w:b w:val="0"/>
          <w:bCs w:val="0"/>
          <w:color w:val="auto"/>
        </w:rPr>
        <w:t>4</w:t>
      </w:r>
      <w:r>
        <w:rPr>
          <w:rFonts w:hint="eastAsia" w:ascii="Times New Roman" w:hAnsi="Times New Roman" w:eastAsia="方正仿宋_GB2312" w:cs="Times New Roman"/>
          <w:b w:val="0"/>
          <w:bCs w:val="0"/>
          <w:color w:val="auto"/>
        </w:rPr>
        <w:t>.0.4</w:t>
      </w:r>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在日常维护过程中，应对建筑的使用环境以及相应系统、设备的运行情况定期巡查，按照相关规定定期进行全面检查评估，及时整修维护，确保应急状态下快速安全启用。</w:t>
      </w:r>
    </w:p>
    <w:p w14:paraId="499F25F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w:t>
      </w:r>
      <w:r>
        <w:rPr>
          <w:rFonts w:ascii="Times New Roman" w:hAnsi="Times New Roman" w:eastAsia="方正仿宋_GB2312" w:cs="Times New Roman"/>
          <w:b w:val="0"/>
          <w:bCs w:val="0"/>
          <w:color w:val="auto"/>
        </w:rPr>
        <w:t>4</w:t>
      </w:r>
      <w:r>
        <w:rPr>
          <w:rFonts w:hint="eastAsia" w:ascii="Times New Roman" w:hAnsi="Times New Roman" w:eastAsia="方正仿宋_GB2312" w:cs="Times New Roman"/>
          <w:b w:val="0"/>
          <w:bCs w:val="0"/>
          <w:color w:val="auto"/>
        </w:rPr>
        <w:t>.0.5</w:t>
      </w:r>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项目运营管理部门应定期开展必要的日常训练和应急演习，确保相关人员在“急时”能够熟练、正确地进行设施和流程的转换。</w:t>
      </w:r>
    </w:p>
    <w:p w14:paraId="1C969F2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w:t>
      </w:r>
      <w:r>
        <w:rPr>
          <w:rFonts w:ascii="Times New Roman" w:hAnsi="Times New Roman" w:eastAsia="方正仿宋_GB2312" w:cs="Times New Roman"/>
          <w:b w:val="0"/>
          <w:bCs w:val="0"/>
          <w:color w:val="auto"/>
        </w:rPr>
        <w:t>4</w:t>
      </w:r>
      <w:r>
        <w:rPr>
          <w:rFonts w:hint="eastAsia" w:ascii="Times New Roman" w:hAnsi="Times New Roman" w:eastAsia="方正仿宋_GB2312" w:cs="Times New Roman"/>
          <w:b w:val="0"/>
          <w:bCs w:val="0"/>
          <w:color w:val="auto"/>
        </w:rPr>
        <w:t>.0.6</w:t>
      </w:r>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平急转换完成后的设施应通过政府相关部门检测、验收通过后方可投入使用，并同步移交相关归档资料。</w:t>
      </w:r>
    </w:p>
    <w:p w14:paraId="1F0AD900">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w:t>
      </w:r>
      <w:r>
        <w:rPr>
          <w:rFonts w:ascii="Times New Roman" w:hAnsi="Times New Roman" w:eastAsia="方正仿宋_GB2312" w:cs="Times New Roman"/>
          <w:b w:val="0"/>
          <w:bCs w:val="0"/>
          <w:color w:val="auto"/>
        </w:rPr>
        <w:t>4</w:t>
      </w:r>
      <w:r>
        <w:rPr>
          <w:rFonts w:hint="eastAsia" w:ascii="Times New Roman" w:hAnsi="Times New Roman" w:eastAsia="方正仿宋_GB2312" w:cs="Times New Roman"/>
          <w:b w:val="0"/>
          <w:bCs w:val="0"/>
          <w:color w:val="auto"/>
        </w:rPr>
        <w:t>.0.7</w:t>
      </w:r>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“平急两用”医疗应急服务点使用完毕后，应对使用的区域进行全面检查、消杀，通过综合安全评估后方可恢复其建筑原有使用功能。经评估可重复利用的材料、构件宜清理编号后存放于专用库房。</w:t>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1BE94F4-AAF7-485F-BB3A-7C94232DF4FC}"/>
  </w:font>
  <w:font w:name="Arial">
    <w:panose1 w:val="020B0604020202020204"/>
    <w:charset w:val="01"/>
    <w:family w:val="swiss"/>
    <w:pitch w:val="default"/>
    <w:sig w:usb0="E0002EFF" w:usb1="C000785B" w:usb2="00000009" w:usb3="00000000" w:csb0="400001FF" w:csb1="FFFF0000"/>
    <w:embedRegular r:id="rId2" w:fontKey="{62C1A0F1-E641-4AD0-8F53-68E1E15EDBD0}"/>
  </w:font>
  <w:font w:name="黑体">
    <w:panose1 w:val="02010609060101010101"/>
    <w:charset w:val="86"/>
    <w:family w:val="auto"/>
    <w:pitch w:val="default"/>
    <w:sig w:usb0="800002BF" w:usb1="38CF7CFA" w:usb2="00000016" w:usb3="00000000" w:csb0="00040001" w:csb1="00000000"/>
    <w:embedRegular r:id="rId3" w:fontKey="{EA7F851E-3A4A-41F7-B49E-4637405E914D}"/>
  </w:font>
  <w:font w:name="Courier New">
    <w:panose1 w:val="02070309020205020404"/>
    <w:charset w:val="01"/>
    <w:family w:val="modern"/>
    <w:pitch w:val="default"/>
    <w:sig w:usb0="E0002EFF" w:usb1="C0007843" w:usb2="00000009" w:usb3="00000000" w:csb0="400001FF" w:csb1="FFFF0000"/>
    <w:embedRegular r:id="rId4" w:fontKey="{524A8CE9-49E1-4C0E-B7F0-7BE4A132AB8C}"/>
  </w:font>
  <w:font w:name="Symbol">
    <w:panose1 w:val="05050102010706020507"/>
    <w:charset w:val="02"/>
    <w:family w:val="roman"/>
    <w:pitch w:val="default"/>
    <w:sig w:usb0="00000000" w:usb1="00000000" w:usb2="00000000" w:usb3="00000000" w:csb0="80000000" w:csb1="00000000"/>
    <w:embedRegular r:id="rId5" w:fontKey="{61E21C16-F3EC-4F8E-8845-C16E46661110}"/>
  </w:font>
  <w:font w:name="Calibri">
    <w:panose1 w:val="020F0502020204030204"/>
    <w:charset w:val="00"/>
    <w:family w:val="swiss"/>
    <w:pitch w:val="default"/>
    <w:sig w:usb0="E4002EFF" w:usb1="C200247B" w:usb2="00000009" w:usb3="00000000" w:csb0="200001FF" w:csb1="00000000"/>
    <w:embedRegular r:id="rId6" w:fontKey="{C5167A44-DC5D-4FC5-BCCC-4F4D230C8A2D}"/>
  </w:font>
  <w:font w:name="等线">
    <w:panose1 w:val="02010600030101010101"/>
    <w:charset w:val="86"/>
    <w:family w:val="auto"/>
    <w:pitch w:val="default"/>
    <w:sig w:usb0="A00002BF" w:usb1="38CF7CFA" w:usb2="00000016" w:usb3="00000000" w:csb0="0004000F" w:csb1="00000000"/>
    <w:embedRegular r:id="rId7" w:fontKey="{5347DAB8-E0FE-4D0C-BF04-6799311B0BCA}"/>
  </w:font>
  <w:font w:name="Cambria">
    <w:panose1 w:val="02040503050406030204"/>
    <w:charset w:val="00"/>
    <w:family w:val="roman"/>
    <w:pitch w:val="default"/>
    <w:sig w:usb0="E00006FF" w:usb1="420024FF" w:usb2="02000000" w:usb3="00000000" w:csb0="2000019F" w:csb1="00000000"/>
    <w:embedRegular r:id="rId8" w:fontKey="{B048C1CF-EA47-4D36-8726-2DAD03AA2D13}"/>
  </w:font>
  <w:font w:name="等线 Light">
    <w:panose1 w:val="02010600030101010101"/>
    <w:charset w:val="86"/>
    <w:family w:val="auto"/>
    <w:pitch w:val="default"/>
    <w:sig w:usb0="A00002BF" w:usb1="38CF7CFA"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方正仿宋_GB2312">
    <w:panose1 w:val="02000000000000000000"/>
    <w:charset w:val="86"/>
    <w:family w:val="auto"/>
    <w:pitch w:val="default"/>
    <w:sig w:usb0="A00002BF" w:usb1="184F6CFA" w:usb2="00000012" w:usb3="00000000" w:csb0="00040001" w:csb1="00000000"/>
    <w:embedRegular r:id="rId9" w:fontKey="{C6315C04-5E8C-4467-8FD0-E4811F5B37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B6533">
    <w:pPr>
      <w:pStyle w:val="9"/>
      <w:jc w:val="center"/>
    </w:pPr>
  </w:p>
  <w:p w14:paraId="65989AF8">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32197979"/>
      <w:docPartObj>
        <w:docPartGallery w:val="autotext"/>
      </w:docPartObj>
    </w:sdtPr>
    <w:sdtContent>
      <w:p w14:paraId="4D94F611">
        <w:pPr>
          <w:pStyle w:val="9"/>
          <w:jc w:val="center"/>
        </w:pPr>
        <w:r>
          <w:fldChar w:fldCharType="begin"/>
        </w:r>
        <w:r>
          <w:instrText xml:space="preserve">PAGE   \* MERGEFORMAT</w:instrText>
        </w:r>
        <w:r>
          <w:fldChar w:fldCharType="separate"/>
        </w:r>
        <w:r>
          <w:rPr>
            <w:lang w:val="zh-CN"/>
          </w:rPr>
          <w:t>2</w:t>
        </w:r>
        <w:r>
          <w:fldChar w:fldCharType="end"/>
        </w:r>
      </w:p>
    </w:sdtContent>
  </w:sdt>
  <w:p w14:paraId="58AE8F10">
    <w:pPr>
      <w:pStyle w:val="9"/>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A0A"/>
    <w:rsid w:val="00017CBE"/>
    <w:rsid w:val="00023D05"/>
    <w:rsid w:val="0008083E"/>
    <w:rsid w:val="00080FA4"/>
    <w:rsid w:val="00093CDD"/>
    <w:rsid w:val="00093CED"/>
    <w:rsid w:val="000E71CA"/>
    <w:rsid w:val="00107376"/>
    <w:rsid w:val="00121847"/>
    <w:rsid w:val="00123E82"/>
    <w:rsid w:val="00135F9D"/>
    <w:rsid w:val="00147D66"/>
    <w:rsid w:val="001A4529"/>
    <w:rsid w:val="001C252D"/>
    <w:rsid w:val="001D5EEC"/>
    <w:rsid w:val="001E7493"/>
    <w:rsid w:val="001F733C"/>
    <w:rsid w:val="00213721"/>
    <w:rsid w:val="0022373C"/>
    <w:rsid w:val="00267347"/>
    <w:rsid w:val="002768EB"/>
    <w:rsid w:val="002B1CC8"/>
    <w:rsid w:val="002C4FB6"/>
    <w:rsid w:val="00303D2D"/>
    <w:rsid w:val="00353227"/>
    <w:rsid w:val="00382465"/>
    <w:rsid w:val="00392ED9"/>
    <w:rsid w:val="003B478E"/>
    <w:rsid w:val="003B5241"/>
    <w:rsid w:val="003F1FDC"/>
    <w:rsid w:val="003F3F56"/>
    <w:rsid w:val="00415188"/>
    <w:rsid w:val="004753B9"/>
    <w:rsid w:val="004A03F2"/>
    <w:rsid w:val="004A16C9"/>
    <w:rsid w:val="004B60B3"/>
    <w:rsid w:val="004C1843"/>
    <w:rsid w:val="004D6EFD"/>
    <w:rsid w:val="004E32F9"/>
    <w:rsid w:val="00524857"/>
    <w:rsid w:val="0059081B"/>
    <w:rsid w:val="00592661"/>
    <w:rsid w:val="005A267E"/>
    <w:rsid w:val="005A70AA"/>
    <w:rsid w:val="005D6A8C"/>
    <w:rsid w:val="006020CD"/>
    <w:rsid w:val="006265D7"/>
    <w:rsid w:val="00634F44"/>
    <w:rsid w:val="006360C2"/>
    <w:rsid w:val="0067752A"/>
    <w:rsid w:val="00685162"/>
    <w:rsid w:val="00691AEA"/>
    <w:rsid w:val="006C78B7"/>
    <w:rsid w:val="006E13EB"/>
    <w:rsid w:val="00703ABF"/>
    <w:rsid w:val="00716A0A"/>
    <w:rsid w:val="00726F9F"/>
    <w:rsid w:val="007922F7"/>
    <w:rsid w:val="00796437"/>
    <w:rsid w:val="007A2913"/>
    <w:rsid w:val="007A5293"/>
    <w:rsid w:val="007D0CE1"/>
    <w:rsid w:val="007E0E42"/>
    <w:rsid w:val="00804D06"/>
    <w:rsid w:val="0081637C"/>
    <w:rsid w:val="00844473"/>
    <w:rsid w:val="008564F0"/>
    <w:rsid w:val="00875DCF"/>
    <w:rsid w:val="00890077"/>
    <w:rsid w:val="008951B9"/>
    <w:rsid w:val="008B3A33"/>
    <w:rsid w:val="008C6582"/>
    <w:rsid w:val="008D462D"/>
    <w:rsid w:val="008F249B"/>
    <w:rsid w:val="009633ED"/>
    <w:rsid w:val="009655EA"/>
    <w:rsid w:val="0099257A"/>
    <w:rsid w:val="009A6A69"/>
    <w:rsid w:val="009B42CD"/>
    <w:rsid w:val="009C544A"/>
    <w:rsid w:val="009D0A6F"/>
    <w:rsid w:val="009D2C68"/>
    <w:rsid w:val="009E6284"/>
    <w:rsid w:val="00A07D2F"/>
    <w:rsid w:val="00A45FEC"/>
    <w:rsid w:val="00A72ADF"/>
    <w:rsid w:val="00A73E7B"/>
    <w:rsid w:val="00AA0509"/>
    <w:rsid w:val="00AB70CB"/>
    <w:rsid w:val="00AE6963"/>
    <w:rsid w:val="00B000CB"/>
    <w:rsid w:val="00B1652B"/>
    <w:rsid w:val="00B3320C"/>
    <w:rsid w:val="00B336EA"/>
    <w:rsid w:val="00B50C01"/>
    <w:rsid w:val="00B8364A"/>
    <w:rsid w:val="00BB283A"/>
    <w:rsid w:val="00BD40E2"/>
    <w:rsid w:val="00BD6DA6"/>
    <w:rsid w:val="00BE3048"/>
    <w:rsid w:val="00C0620B"/>
    <w:rsid w:val="00C105C6"/>
    <w:rsid w:val="00C14CDB"/>
    <w:rsid w:val="00C54EB0"/>
    <w:rsid w:val="00C56382"/>
    <w:rsid w:val="00C75500"/>
    <w:rsid w:val="00C84C72"/>
    <w:rsid w:val="00CB28F6"/>
    <w:rsid w:val="00CB32D0"/>
    <w:rsid w:val="00CB472A"/>
    <w:rsid w:val="00CC34E7"/>
    <w:rsid w:val="00CD1456"/>
    <w:rsid w:val="00D128C4"/>
    <w:rsid w:val="00D75F11"/>
    <w:rsid w:val="00D8068C"/>
    <w:rsid w:val="00D96A43"/>
    <w:rsid w:val="00DA7C23"/>
    <w:rsid w:val="00DB18DF"/>
    <w:rsid w:val="00DC054C"/>
    <w:rsid w:val="00E71C07"/>
    <w:rsid w:val="00E7442C"/>
    <w:rsid w:val="00E97098"/>
    <w:rsid w:val="00EB2614"/>
    <w:rsid w:val="00ED69D8"/>
    <w:rsid w:val="00F51258"/>
    <w:rsid w:val="00F75DEA"/>
    <w:rsid w:val="00F8373C"/>
    <w:rsid w:val="00FA5793"/>
    <w:rsid w:val="00FE0D7B"/>
    <w:rsid w:val="5E12216C"/>
    <w:rsid w:val="6B1727AE"/>
    <w:rsid w:val="6D2463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unhideWhenUsed/>
    <w:qFormat/>
    <w:uiPriority w:val="9"/>
    <w:pPr>
      <w:keepNext/>
      <w:keepLines/>
      <w:spacing w:before="260" w:after="260" w:line="416" w:lineRule="atLeast"/>
      <w:outlineLvl w:val="1"/>
    </w:pPr>
    <w:rPr>
      <w:rFonts w:ascii="Cambria" w:hAnsi="Cambria" w:eastAsia="宋体" w:cs="Times New Roman"/>
      <w:b/>
      <w:bCs/>
      <w:sz w:val="32"/>
      <w:szCs w:val="32"/>
    </w:rPr>
  </w:style>
  <w:style w:type="paragraph" w:styleId="4">
    <w:name w:val="heading 3"/>
    <w:basedOn w:val="1"/>
    <w:next w:val="1"/>
    <w:link w:val="30"/>
    <w:unhideWhenUsed/>
    <w:qFormat/>
    <w:uiPriority w:val="9"/>
    <w:pPr>
      <w:keepNext/>
      <w:keepLines/>
      <w:widowControl/>
      <w:kinsoku w:val="0"/>
      <w:autoSpaceDE w:val="0"/>
      <w:autoSpaceDN w:val="0"/>
      <w:adjustRightInd w:val="0"/>
      <w:snapToGrid w:val="0"/>
      <w:spacing w:before="260" w:after="260" w:line="416" w:lineRule="auto"/>
      <w:jc w:val="left"/>
      <w:textAlignment w:val="baseline"/>
      <w:outlineLvl w:val="2"/>
    </w:pPr>
    <w:rPr>
      <w:rFonts w:ascii="Arial" w:hAnsi="Arial" w:cs="Arial"/>
      <w:b/>
      <w:bCs/>
      <w:snapToGrid w:val="0"/>
      <w:color w:val="000000"/>
      <w:kern w:val="0"/>
      <w:sz w:val="32"/>
      <w:szCs w:val="32"/>
      <w:lang w:eastAsia="en-US"/>
    </w:rPr>
  </w:style>
  <w:style w:type="paragraph" w:styleId="5">
    <w:name w:val="heading 5"/>
    <w:basedOn w:val="1"/>
    <w:next w:val="1"/>
    <w:link w:val="29"/>
    <w:unhideWhenUsed/>
    <w:qFormat/>
    <w:uiPriority w:val="9"/>
    <w:pPr>
      <w:keepNext/>
      <w:keepLines/>
      <w:widowControl/>
      <w:kinsoku w:val="0"/>
      <w:autoSpaceDE w:val="0"/>
      <w:autoSpaceDN w:val="0"/>
      <w:adjustRightInd w:val="0"/>
      <w:snapToGrid w:val="0"/>
      <w:spacing w:before="280" w:after="290" w:line="376" w:lineRule="auto"/>
      <w:jc w:val="left"/>
      <w:textAlignment w:val="baseline"/>
      <w:outlineLvl w:val="4"/>
    </w:pPr>
    <w:rPr>
      <w:rFonts w:ascii="Arial" w:hAnsi="Arial" w:cs="Arial"/>
      <w:b/>
      <w:bCs/>
      <w:snapToGrid w:val="0"/>
      <w:color w:val="000000"/>
      <w:kern w:val="0"/>
      <w:sz w:val="28"/>
      <w:szCs w:val="28"/>
      <w:lang w:eastAsia="en-US"/>
    </w:rPr>
  </w:style>
  <w:style w:type="character" w:default="1" w:styleId="16">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23"/>
    <w:semiHidden/>
    <w:unhideWhenUsed/>
    <w:qFormat/>
    <w:uiPriority w:val="99"/>
    <w:pPr>
      <w:jc w:val="left"/>
    </w:pPr>
  </w:style>
  <w:style w:type="paragraph" w:styleId="7">
    <w:name w:val="Body Text"/>
    <w:basedOn w:val="1"/>
    <w:link w:val="28"/>
    <w:semiHidden/>
    <w:qFormat/>
    <w:uiPriority w:val="0"/>
    <w:pPr>
      <w:widowControl/>
      <w:kinsoku w:val="0"/>
      <w:autoSpaceDE w:val="0"/>
      <w:autoSpaceDN w:val="0"/>
      <w:adjustRightInd w:val="0"/>
      <w:snapToGrid w:val="0"/>
      <w:jc w:val="left"/>
      <w:textAlignment w:val="baseline"/>
    </w:pPr>
    <w:rPr>
      <w:rFonts w:ascii="Arial" w:hAnsi="Arial" w:eastAsia="Arial" w:cs="Arial"/>
      <w:snapToGrid w:val="0"/>
      <w:color w:val="000000"/>
      <w:kern w:val="0"/>
      <w:szCs w:val="21"/>
      <w:lang w:eastAsia="en-US"/>
    </w:rPr>
  </w:style>
  <w:style w:type="paragraph" w:styleId="8">
    <w:name w:val="Balloon Text"/>
    <w:basedOn w:val="1"/>
    <w:link w:val="24"/>
    <w:semiHidden/>
    <w:unhideWhenUsed/>
    <w:qFormat/>
    <w:uiPriority w:val="99"/>
    <w:rPr>
      <w:sz w:val="18"/>
      <w:szCs w:val="18"/>
    </w:rPr>
  </w:style>
  <w:style w:type="paragraph" w:styleId="9">
    <w:name w:val="footer"/>
    <w:basedOn w:val="1"/>
    <w:link w:val="20"/>
    <w:unhideWhenUsed/>
    <w:qFormat/>
    <w:uiPriority w:val="99"/>
    <w:pPr>
      <w:tabs>
        <w:tab w:val="center" w:pos="4153"/>
        <w:tab w:val="right" w:pos="8306"/>
      </w:tabs>
      <w:snapToGrid w:val="0"/>
      <w:jc w:val="left"/>
    </w:pPr>
    <w:rPr>
      <w:sz w:val="18"/>
      <w:szCs w:val="18"/>
    </w:rPr>
  </w:style>
  <w:style w:type="paragraph" w:styleId="10">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autoRedefine/>
    <w:unhideWhenUsed/>
    <w:qFormat/>
    <w:uiPriority w:val="39"/>
  </w:style>
  <w:style w:type="paragraph" w:styleId="12">
    <w:name w:val="toc 2"/>
    <w:basedOn w:val="1"/>
    <w:next w:val="1"/>
    <w:autoRedefine/>
    <w:unhideWhenUsed/>
    <w:qFormat/>
    <w:uiPriority w:val="39"/>
    <w:pPr>
      <w:ind w:left="420" w:leftChars="200"/>
    </w:pPr>
  </w:style>
  <w:style w:type="paragraph" w:styleId="1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5">
    <w:name w:val="Table Grid"/>
    <w:basedOn w:val="14"/>
    <w:qFormat/>
    <w:uiPriority w:val="39"/>
    <w:tblP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Pr>
    <w:tcPr>
      <w:vAlign w:val="center"/>
    </w:tcPr>
  </w:style>
  <w:style w:type="character" w:styleId="17">
    <w:name w:val="Strong"/>
    <w:basedOn w:val="16"/>
    <w:qFormat/>
    <w:uiPriority w:val="22"/>
    <w:rPr>
      <w:b/>
      <w:bCs/>
    </w:rPr>
  </w:style>
  <w:style w:type="character" w:styleId="18">
    <w:name w:val="Hyperlink"/>
    <w:basedOn w:val="16"/>
    <w:unhideWhenUsed/>
    <w:qFormat/>
    <w:uiPriority w:val="99"/>
    <w:rPr>
      <w:color w:val="0563C1" w:themeColor="hyperlink"/>
      <w:u w:val="single"/>
      <w14:textFill>
        <w14:solidFill>
          <w14:schemeClr w14:val="hlink"/>
        </w14:solidFill>
      </w14:textFill>
    </w:rPr>
  </w:style>
  <w:style w:type="character" w:styleId="19">
    <w:name w:val="annotation reference"/>
    <w:basedOn w:val="16"/>
    <w:semiHidden/>
    <w:unhideWhenUsed/>
    <w:qFormat/>
    <w:uiPriority w:val="99"/>
    <w:rPr>
      <w:sz w:val="21"/>
      <w:szCs w:val="21"/>
    </w:rPr>
  </w:style>
  <w:style w:type="character" w:customStyle="1" w:styleId="20">
    <w:name w:val="页脚 字符"/>
    <w:basedOn w:val="16"/>
    <w:link w:val="9"/>
    <w:qFormat/>
    <w:uiPriority w:val="99"/>
    <w:rPr>
      <w:sz w:val="18"/>
      <w:szCs w:val="18"/>
    </w:rPr>
  </w:style>
  <w:style w:type="character" w:customStyle="1" w:styleId="21">
    <w:name w:val="标题 2 字符1"/>
    <w:basedOn w:val="16"/>
    <w:link w:val="3"/>
    <w:qFormat/>
    <w:uiPriority w:val="9"/>
    <w:rPr>
      <w:rFonts w:ascii="Cambria" w:hAnsi="Cambria" w:eastAsia="宋体" w:cs="Times New Roman"/>
      <w:b/>
      <w:bCs/>
      <w:sz w:val="32"/>
      <w:szCs w:val="32"/>
    </w:rPr>
  </w:style>
  <w:style w:type="character" w:customStyle="1" w:styleId="22">
    <w:name w:val="标题 2 字符"/>
    <w:basedOn w:val="16"/>
    <w:qFormat/>
    <w:uiPriority w:val="9"/>
    <w:rPr>
      <w:rFonts w:asciiTheme="majorHAnsi" w:hAnsiTheme="majorHAnsi" w:eastAsiaTheme="majorEastAsia" w:cstheme="majorBidi"/>
      <w:b/>
      <w:bCs/>
      <w:sz w:val="32"/>
      <w:szCs w:val="32"/>
    </w:rPr>
  </w:style>
  <w:style w:type="character" w:customStyle="1" w:styleId="23">
    <w:name w:val="批注文字 字符"/>
    <w:basedOn w:val="16"/>
    <w:link w:val="6"/>
    <w:semiHidden/>
    <w:qFormat/>
    <w:uiPriority w:val="99"/>
  </w:style>
  <w:style w:type="character" w:customStyle="1" w:styleId="24">
    <w:name w:val="批注框文本 字符"/>
    <w:basedOn w:val="16"/>
    <w:link w:val="8"/>
    <w:semiHidden/>
    <w:qFormat/>
    <w:uiPriority w:val="99"/>
    <w:rPr>
      <w:sz w:val="18"/>
      <w:szCs w:val="18"/>
    </w:rPr>
  </w:style>
  <w:style w:type="character" w:customStyle="1" w:styleId="25">
    <w:name w:val="标题 1 字符"/>
    <w:basedOn w:val="16"/>
    <w:link w:val="2"/>
    <w:qFormat/>
    <w:uiPriority w:val="9"/>
    <w:rPr>
      <w:b/>
      <w:bCs/>
      <w:kern w:val="44"/>
      <w:sz w:val="44"/>
      <w:szCs w:val="44"/>
    </w:rPr>
  </w:style>
  <w:style w:type="character" w:customStyle="1" w:styleId="26">
    <w:name w:val="页眉 字符"/>
    <w:basedOn w:val="16"/>
    <w:link w:val="10"/>
    <w:qFormat/>
    <w:uiPriority w:val="99"/>
    <w:rPr>
      <w:sz w:val="18"/>
      <w:szCs w:val="18"/>
    </w:rPr>
  </w:style>
  <w:style w:type="paragraph" w:customStyle="1" w:styleId="27">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8">
    <w:name w:val="正文文本 字符"/>
    <w:basedOn w:val="16"/>
    <w:link w:val="7"/>
    <w:semiHidden/>
    <w:qFormat/>
    <w:uiPriority w:val="0"/>
    <w:rPr>
      <w:rFonts w:ascii="Arial" w:hAnsi="Arial" w:eastAsia="Arial" w:cs="Arial"/>
      <w:snapToGrid w:val="0"/>
      <w:color w:val="000000"/>
      <w:sz w:val="21"/>
      <w:szCs w:val="21"/>
      <w:lang w:eastAsia="en-US"/>
    </w:rPr>
  </w:style>
  <w:style w:type="character" w:customStyle="1" w:styleId="29">
    <w:name w:val="标题 5 字符"/>
    <w:basedOn w:val="16"/>
    <w:link w:val="5"/>
    <w:qFormat/>
    <w:uiPriority w:val="9"/>
    <w:rPr>
      <w:rFonts w:ascii="Arial" w:hAnsi="Arial" w:cs="Arial"/>
      <w:b/>
      <w:bCs/>
      <w:snapToGrid w:val="0"/>
      <w:color w:val="000000"/>
      <w:sz w:val="28"/>
      <w:szCs w:val="28"/>
      <w:lang w:eastAsia="en-US"/>
    </w:rPr>
  </w:style>
  <w:style w:type="character" w:customStyle="1" w:styleId="30">
    <w:name w:val="标题 3 字符"/>
    <w:basedOn w:val="16"/>
    <w:link w:val="4"/>
    <w:uiPriority w:val="9"/>
    <w:rPr>
      <w:rFonts w:ascii="Arial" w:hAnsi="Arial" w:cs="Arial"/>
      <w:b/>
      <w:bCs/>
      <w:snapToGrid w:val="0"/>
      <w:color w:val="000000"/>
      <w:sz w:val="32"/>
      <w:szCs w:val="32"/>
      <w:lang w:eastAsia="en-US"/>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218A6-C032-466A-8AC0-2744A73E8D6C}">
  <ds:schemaRefs/>
</ds:datastoreItem>
</file>

<file path=docProps/app.xml><?xml version="1.0" encoding="utf-8"?>
<Properties xmlns="http://schemas.openxmlformats.org/officeDocument/2006/extended-properties" xmlns:vt="http://schemas.openxmlformats.org/officeDocument/2006/docPropsVTypes">
  <Template>Normal.dotm</Template>
  <Pages>33</Pages>
  <Words>9057</Words>
  <Characters>10013</Characters>
  <Lines>109</Lines>
  <Paragraphs>30</Paragraphs>
  <TotalTime>0</TotalTime>
  <ScaleCrop>false</ScaleCrop>
  <LinksUpToDate>false</LinksUpToDate>
  <CharactersWithSpaces>10326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2025-12-08T01:25:00Z</dcterms:created>
  <dc:creator>Administrator</dc:creator>
  <cp:lastModifiedBy>夜鲨¹³⁸⁹¹⁷⁷¹⁷⁸⁸</cp:lastModifiedBy>
  <dcterms:modified xsi:type="dcterms:W3CDTF">2025-12-09T03:46:20Z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eyJoZGlkIjoiYWE3NzVhZDE5YzQxZmVhYzBiYzBjMGEyYTMyYmEyYmIiLCJ1c2VySWQiOiI3NjAxMTAyNDUifQ==</vt:lpwstr>
  </property>
  <property fmtid="{D5CDD505-2E9C-101B-9397-08002B2CF9AE}" pid="3" name="KSOProductBuildVer">
    <vt:lpwstr>2052-12.1.0.23542</vt:lpwstr>
  </property>
  <property fmtid="{D5CDD505-2E9C-101B-9397-08002B2CF9AE}" pid="4" name="ICV">
    <vt:lpwstr>E45BD4155CDE431B96DDEEDD28B81225_12</vt:lpwstr>
  </property>
</Properties>
</file>