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745225">
      <w:pPr>
        <w:pStyle w:val="25"/>
        <w:keepNext w:val="0"/>
        <w:keepLines w:val="0"/>
        <w:suppressLineNumbers/>
        <w:spacing w:before="0" w:line="580" w:lineRule="exact"/>
        <w:rPr>
          <w:rFonts w:hint="eastAsia" w:ascii="Times New Roman" w:hAnsi="Times New Roman" w:eastAsia="黑体" w:cs="Times New Roman"/>
          <w:bCs/>
          <w:color w:val="auto"/>
          <w:spacing w:val="-4"/>
          <w:kern w:val="36"/>
          <w:lang w:val="en-US" w:eastAsia="zh-CN"/>
        </w:rPr>
      </w:pPr>
      <w:r>
        <w:rPr>
          <w:rFonts w:hint="eastAsia" w:ascii="Times New Roman" w:hAnsi="Times New Roman" w:eastAsia="黑体" w:cs="Times New Roman"/>
          <w:bCs/>
          <w:color w:val="auto"/>
          <w:spacing w:val="-4"/>
          <w:kern w:val="36"/>
        </w:rPr>
        <w:t>附件</w:t>
      </w:r>
      <w:r>
        <w:rPr>
          <w:rFonts w:hint="eastAsia" w:ascii="Times New Roman" w:hAnsi="Times New Roman" w:eastAsia="黑体" w:cs="Times New Roman"/>
          <w:bCs/>
          <w:color w:val="auto"/>
          <w:spacing w:val="-4"/>
          <w:kern w:val="36"/>
          <w:lang w:val="en-US" w:eastAsia="zh-CN"/>
        </w:rPr>
        <w:t>3</w:t>
      </w:r>
    </w:p>
    <w:p w14:paraId="0A8046E3">
      <w:pPr>
        <w:pStyle w:val="8"/>
        <w:kinsoku/>
        <w:wordWrap w:val="0"/>
        <w:topLinePunct/>
        <w:autoSpaceDE/>
        <w:autoSpaceDN/>
        <w:snapToGrid/>
        <w:spacing w:line="360" w:lineRule="auto"/>
        <w:contextualSpacing/>
        <w:rPr>
          <w:rFonts w:ascii="宋体" w:hAnsi="宋体" w:eastAsia="宋体"/>
          <w:color w:val="auto"/>
        </w:rPr>
      </w:pPr>
    </w:p>
    <w:p w14:paraId="762C263D">
      <w:pPr>
        <w:pStyle w:val="8"/>
        <w:kinsoku/>
        <w:wordWrap w:val="0"/>
        <w:topLinePunct/>
        <w:autoSpaceDE/>
        <w:autoSpaceDN/>
        <w:snapToGrid/>
        <w:spacing w:line="360" w:lineRule="auto"/>
        <w:contextualSpacing/>
        <w:rPr>
          <w:rFonts w:ascii="宋体" w:hAnsi="宋体" w:eastAsia="宋体"/>
          <w:color w:val="auto"/>
          <w:lang w:eastAsia="zh-CN"/>
        </w:rPr>
      </w:pPr>
    </w:p>
    <w:p w14:paraId="16C3DFB5">
      <w:pPr>
        <w:pStyle w:val="8"/>
        <w:kinsoku/>
        <w:wordWrap w:val="0"/>
        <w:topLinePunct/>
        <w:autoSpaceDE/>
        <w:autoSpaceDN/>
        <w:snapToGrid/>
        <w:spacing w:line="360" w:lineRule="auto"/>
        <w:contextualSpacing/>
        <w:rPr>
          <w:rFonts w:ascii="宋体" w:hAnsi="宋体" w:eastAsia="宋体"/>
          <w:color w:val="auto"/>
        </w:rPr>
      </w:pPr>
    </w:p>
    <w:p w14:paraId="7369EBCE">
      <w:pPr>
        <w:pStyle w:val="8"/>
        <w:kinsoku/>
        <w:wordWrap w:val="0"/>
        <w:topLinePunct/>
        <w:autoSpaceDE/>
        <w:autoSpaceDN/>
        <w:snapToGrid/>
        <w:spacing w:line="360" w:lineRule="auto"/>
        <w:contextualSpacing/>
        <w:rPr>
          <w:rFonts w:ascii="宋体" w:hAnsi="宋体" w:eastAsia="宋体"/>
          <w:color w:val="auto"/>
        </w:rPr>
      </w:pPr>
    </w:p>
    <w:p w14:paraId="418841DC">
      <w:pPr>
        <w:pStyle w:val="8"/>
        <w:kinsoku/>
        <w:wordWrap w:val="0"/>
        <w:topLinePunct/>
        <w:autoSpaceDE/>
        <w:autoSpaceDN/>
        <w:snapToGrid/>
        <w:spacing w:line="360" w:lineRule="auto"/>
        <w:contextualSpacing/>
        <w:rPr>
          <w:rFonts w:ascii="宋体" w:hAnsi="宋体" w:eastAsia="宋体"/>
          <w:color w:val="auto"/>
        </w:rPr>
      </w:pPr>
    </w:p>
    <w:p w14:paraId="531D7CE4">
      <w:pPr>
        <w:pStyle w:val="2"/>
        <w:wordWrap w:val="0"/>
        <w:topLinePunct/>
        <w:spacing w:line="360" w:lineRule="auto"/>
        <w:ind w:left="-32" w:leftChars="-270" w:right="-624" w:rightChars="-297" w:hanging="535" w:hangingChars="132"/>
        <w:contextualSpacing/>
        <w:jc w:val="center"/>
        <w:rPr>
          <w:rFonts w:ascii="Times New Roman" w:hAnsi="Times New Roman" w:eastAsia="方正小标宋简体" w:cs="Times New Roman"/>
          <w:b w:val="0"/>
          <w:bCs/>
          <w:spacing w:val="-6"/>
          <w:w w:val="95"/>
          <w:kern w:val="36"/>
          <w:szCs w:val="44"/>
        </w:rPr>
      </w:pPr>
      <w:bookmarkStart w:id="0" w:name="_Toc213281184"/>
      <w:bookmarkStart w:id="1" w:name="_Toc213278492"/>
      <w:bookmarkStart w:id="2" w:name="_Toc215675727"/>
      <w:bookmarkStart w:id="3" w:name="_Toc215675797"/>
      <w:r>
        <w:rPr>
          <w:rFonts w:hint="eastAsia" w:ascii="Times New Roman" w:hAnsi="Times New Roman" w:eastAsia="方正小标宋简体" w:cs="Times New Roman"/>
          <w:b w:val="0"/>
          <w:bCs/>
          <w:spacing w:val="-6"/>
          <w:w w:val="95"/>
          <w:kern w:val="36"/>
          <w:szCs w:val="44"/>
        </w:rPr>
        <w:t>宝鸡</w:t>
      </w:r>
      <w:r>
        <w:rPr>
          <w:rFonts w:ascii="Times New Roman" w:hAnsi="Times New Roman" w:eastAsia="方正小标宋简体" w:cs="Times New Roman"/>
          <w:b w:val="0"/>
          <w:bCs/>
          <w:spacing w:val="-6"/>
          <w:w w:val="95"/>
          <w:kern w:val="36"/>
          <w:szCs w:val="44"/>
        </w:rPr>
        <w:t>市</w:t>
      </w:r>
      <w:bookmarkEnd w:id="0"/>
      <w:bookmarkEnd w:id="1"/>
      <w:r>
        <w:rPr>
          <w:rFonts w:hint="eastAsia" w:ascii="Times New Roman" w:hAnsi="Times New Roman" w:eastAsia="方正小标宋简体" w:cs="Times New Roman"/>
          <w:b w:val="0"/>
          <w:bCs/>
          <w:spacing w:val="-6"/>
          <w:w w:val="95"/>
          <w:kern w:val="36"/>
          <w:szCs w:val="44"/>
        </w:rPr>
        <w:t>“平急两用”城郊大型仓储基地建设技术导则</w:t>
      </w:r>
      <w:bookmarkEnd w:id="2"/>
      <w:bookmarkEnd w:id="3"/>
    </w:p>
    <w:p w14:paraId="53AE9A9D">
      <w:pPr>
        <w:pStyle w:val="8"/>
        <w:kinsoku/>
        <w:topLinePunct/>
        <w:autoSpaceDE/>
        <w:autoSpaceDN/>
        <w:snapToGrid/>
        <w:spacing w:line="360" w:lineRule="auto"/>
        <w:contextualSpacing/>
        <w:rPr>
          <w:rFonts w:ascii="宋体" w:hAnsi="宋体" w:eastAsia="宋体"/>
          <w:b/>
          <w:color w:val="auto"/>
        </w:rPr>
      </w:pPr>
      <w:bookmarkStart w:id="4" w:name="_Toc213278495"/>
      <w:bookmarkStart w:id="5" w:name="_Toc213281187"/>
    </w:p>
    <w:p w14:paraId="6D2DBB95">
      <w:pPr>
        <w:pStyle w:val="8"/>
        <w:kinsoku/>
        <w:topLinePunct/>
        <w:autoSpaceDE/>
        <w:autoSpaceDN/>
        <w:snapToGrid/>
        <w:spacing w:line="360" w:lineRule="auto"/>
        <w:contextualSpacing/>
        <w:rPr>
          <w:rFonts w:ascii="宋体" w:hAnsi="宋体" w:eastAsia="宋体"/>
          <w:b/>
          <w:color w:val="auto"/>
        </w:rPr>
      </w:pPr>
      <w:bookmarkStart w:id="44" w:name="_GoBack"/>
      <w:bookmarkEnd w:id="44"/>
    </w:p>
    <w:p w14:paraId="6C6E66BA">
      <w:pPr>
        <w:pStyle w:val="8"/>
        <w:kinsoku/>
        <w:topLinePunct/>
        <w:autoSpaceDE/>
        <w:autoSpaceDN/>
        <w:snapToGrid/>
        <w:spacing w:line="360" w:lineRule="auto"/>
        <w:contextualSpacing/>
        <w:rPr>
          <w:rFonts w:ascii="宋体" w:hAnsi="宋体" w:eastAsia="宋体"/>
          <w:b/>
          <w:color w:val="auto"/>
        </w:rPr>
      </w:pPr>
    </w:p>
    <w:p w14:paraId="6267EAC6">
      <w:pPr>
        <w:pStyle w:val="8"/>
        <w:kinsoku/>
        <w:topLinePunct/>
        <w:autoSpaceDE/>
        <w:autoSpaceDN/>
        <w:snapToGrid/>
        <w:spacing w:line="360" w:lineRule="auto"/>
        <w:contextualSpacing/>
        <w:rPr>
          <w:rFonts w:ascii="宋体" w:hAnsi="宋体" w:eastAsia="宋体"/>
          <w:b/>
          <w:color w:val="auto"/>
        </w:rPr>
      </w:pPr>
    </w:p>
    <w:p w14:paraId="47A69BD9">
      <w:pPr>
        <w:pStyle w:val="8"/>
        <w:kinsoku/>
        <w:topLinePunct/>
        <w:autoSpaceDE/>
        <w:autoSpaceDN/>
        <w:snapToGrid/>
        <w:spacing w:line="360" w:lineRule="auto"/>
        <w:contextualSpacing/>
        <w:rPr>
          <w:rFonts w:ascii="宋体" w:hAnsi="宋体" w:eastAsia="宋体"/>
          <w:b/>
          <w:color w:val="auto"/>
        </w:rPr>
      </w:pPr>
    </w:p>
    <w:p w14:paraId="5DB5BF94">
      <w:pPr>
        <w:pStyle w:val="8"/>
        <w:kinsoku/>
        <w:topLinePunct/>
        <w:autoSpaceDE/>
        <w:autoSpaceDN/>
        <w:snapToGrid/>
        <w:spacing w:line="360" w:lineRule="auto"/>
        <w:contextualSpacing/>
        <w:rPr>
          <w:rFonts w:ascii="宋体" w:hAnsi="宋体" w:eastAsia="宋体"/>
          <w:b/>
          <w:color w:val="auto"/>
        </w:rPr>
      </w:pPr>
    </w:p>
    <w:p w14:paraId="20837240">
      <w:pPr>
        <w:pStyle w:val="8"/>
        <w:kinsoku/>
        <w:topLinePunct/>
        <w:autoSpaceDE/>
        <w:autoSpaceDN/>
        <w:snapToGrid/>
        <w:spacing w:line="360" w:lineRule="auto"/>
        <w:contextualSpacing/>
        <w:rPr>
          <w:rFonts w:ascii="宋体" w:hAnsi="宋体" w:eastAsia="宋体"/>
          <w:b/>
          <w:color w:val="auto"/>
        </w:rPr>
      </w:pPr>
    </w:p>
    <w:p w14:paraId="6DC2C0C9">
      <w:pPr>
        <w:pStyle w:val="8"/>
        <w:kinsoku/>
        <w:topLinePunct/>
        <w:autoSpaceDE/>
        <w:autoSpaceDN/>
        <w:snapToGrid/>
        <w:spacing w:line="360" w:lineRule="auto"/>
        <w:contextualSpacing/>
        <w:rPr>
          <w:rFonts w:ascii="宋体" w:hAnsi="宋体" w:eastAsia="宋体"/>
          <w:b/>
          <w:color w:val="auto"/>
        </w:rPr>
      </w:pPr>
    </w:p>
    <w:p w14:paraId="636AE06B">
      <w:pPr>
        <w:pStyle w:val="8"/>
        <w:kinsoku/>
        <w:topLinePunct/>
        <w:autoSpaceDE/>
        <w:autoSpaceDN/>
        <w:snapToGrid/>
        <w:spacing w:line="360" w:lineRule="auto"/>
        <w:contextualSpacing/>
        <w:rPr>
          <w:rFonts w:ascii="宋体" w:hAnsi="宋体" w:eastAsia="宋体"/>
          <w:b/>
          <w:color w:val="auto"/>
        </w:rPr>
      </w:pPr>
    </w:p>
    <w:p w14:paraId="16305D63">
      <w:pPr>
        <w:pStyle w:val="8"/>
        <w:kinsoku/>
        <w:topLinePunct/>
        <w:autoSpaceDE/>
        <w:autoSpaceDN/>
        <w:snapToGrid/>
        <w:spacing w:line="360" w:lineRule="auto"/>
        <w:contextualSpacing/>
        <w:rPr>
          <w:rFonts w:ascii="宋体" w:hAnsi="宋体" w:eastAsia="宋体"/>
          <w:b/>
          <w:color w:val="auto"/>
        </w:rPr>
      </w:pPr>
    </w:p>
    <w:p w14:paraId="587B63BF">
      <w:pPr>
        <w:pStyle w:val="8"/>
        <w:kinsoku/>
        <w:wordWrap w:val="0"/>
        <w:topLinePunct/>
        <w:autoSpaceDE/>
        <w:autoSpaceDN/>
        <w:snapToGrid/>
        <w:spacing w:line="360" w:lineRule="auto"/>
        <w:contextualSpacing/>
        <w:rPr>
          <w:rFonts w:ascii="宋体" w:hAnsi="宋体" w:eastAsia="宋体"/>
          <w:b/>
          <w:color w:val="auto"/>
        </w:rPr>
      </w:pPr>
    </w:p>
    <w:p w14:paraId="10AE8CDA">
      <w:pPr>
        <w:pStyle w:val="8"/>
        <w:kinsoku/>
        <w:wordWrap w:val="0"/>
        <w:topLinePunct/>
        <w:autoSpaceDE/>
        <w:autoSpaceDN/>
        <w:snapToGrid/>
        <w:spacing w:line="360" w:lineRule="auto"/>
        <w:contextualSpacing/>
        <w:rPr>
          <w:rFonts w:ascii="宋体" w:hAnsi="宋体" w:eastAsia="宋体"/>
          <w:b/>
          <w:color w:val="auto"/>
        </w:rPr>
      </w:pPr>
    </w:p>
    <w:p w14:paraId="135E4158">
      <w:pPr>
        <w:pStyle w:val="8"/>
        <w:kinsoku/>
        <w:wordWrap w:val="0"/>
        <w:topLinePunct/>
        <w:autoSpaceDE/>
        <w:autoSpaceDN/>
        <w:snapToGrid/>
        <w:spacing w:line="360" w:lineRule="auto"/>
        <w:contextualSpacing/>
        <w:rPr>
          <w:rFonts w:ascii="宋体" w:hAnsi="宋体" w:eastAsia="宋体"/>
          <w:b/>
          <w:color w:val="auto"/>
        </w:rPr>
      </w:pPr>
    </w:p>
    <w:p w14:paraId="21FD7EA6">
      <w:pPr>
        <w:pStyle w:val="8"/>
        <w:kinsoku/>
        <w:wordWrap w:val="0"/>
        <w:topLinePunct/>
        <w:autoSpaceDE/>
        <w:autoSpaceDN/>
        <w:snapToGrid/>
        <w:spacing w:line="360" w:lineRule="auto"/>
        <w:contextualSpacing/>
        <w:rPr>
          <w:rFonts w:ascii="宋体" w:hAnsi="宋体" w:eastAsia="宋体"/>
          <w:b/>
          <w:color w:val="auto"/>
        </w:rPr>
      </w:pPr>
    </w:p>
    <w:p w14:paraId="56D04121">
      <w:pPr>
        <w:pStyle w:val="2"/>
        <w:keepNext w:val="0"/>
        <w:keepLines w:val="0"/>
        <w:widowControl/>
        <w:wordWrap w:val="0"/>
        <w:topLinePunct/>
        <w:spacing w:before="100" w:beforeAutospacing="1" w:after="100" w:afterAutospacing="1" w:line="360" w:lineRule="auto"/>
        <w:contextualSpacing/>
        <w:jc w:val="center"/>
        <w:rPr>
          <w:rFonts w:ascii="Times New Roman" w:hAnsi="Times New Roman" w:eastAsia="黑体" w:cs="Times New Roman"/>
          <w:b w:val="0"/>
          <w:bCs/>
          <w:spacing w:val="-4"/>
          <w:kern w:val="36"/>
          <w:sz w:val="36"/>
          <w:szCs w:val="36"/>
        </w:rPr>
      </w:pPr>
      <w:bookmarkStart w:id="6" w:name="_Toc215675729"/>
      <w:bookmarkStart w:id="7" w:name="_Toc215675799"/>
      <w:r>
        <w:rPr>
          <w:rFonts w:hint="eastAsia" w:ascii="Times New Roman" w:hAnsi="Times New Roman" w:eastAsia="黑体" w:cs="Times New Roman"/>
          <w:b w:val="0"/>
          <w:bCs/>
          <w:spacing w:val="-4"/>
          <w:kern w:val="36"/>
          <w:sz w:val="36"/>
          <w:szCs w:val="36"/>
        </w:rPr>
        <w:t>宝鸡</w:t>
      </w:r>
      <w:r>
        <w:rPr>
          <w:rFonts w:ascii="Times New Roman" w:hAnsi="Times New Roman" w:eastAsia="黑体" w:cs="Times New Roman"/>
          <w:b w:val="0"/>
          <w:bCs/>
          <w:spacing w:val="-4"/>
          <w:kern w:val="36"/>
          <w:sz w:val="36"/>
          <w:szCs w:val="36"/>
        </w:rPr>
        <w:t>市住房和城乡建设局</w:t>
      </w:r>
      <w:bookmarkEnd w:id="4"/>
      <w:bookmarkEnd w:id="5"/>
      <w:bookmarkEnd w:id="6"/>
      <w:bookmarkEnd w:id="7"/>
    </w:p>
    <w:p w14:paraId="0E5F6696">
      <w:pPr>
        <w:pStyle w:val="2"/>
        <w:keepNext w:val="0"/>
        <w:keepLines w:val="0"/>
        <w:widowControl/>
        <w:wordWrap w:val="0"/>
        <w:topLinePunct/>
        <w:spacing w:before="100" w:beforeAutospacing="1" w:after="100" w:afterAutospacing="1" w:line="360" w:lineRule="auto"/>
        <w:contextualSpacing/>
        <w:jc w:val="center"/>
        <w:rPr>
          <w:rFonts w:ascii="Times New Roman" w:hAnsi="Times New Roman" w:eastAsia="黑体" w:cs="Times New Roman"/>
          <w:b w:val="0"/>
          <w:bCs/>
          <w:spacing w:val="-4"/>
          <w:kern w:val="36"/>
          <w:sz w:val="36"/>
          <w:szCs w:val="36"/>
        </w:rPr>
      </w:pPr>
      <w:bookmarkStart w:id="8" w:name="_Toc213278496"/>
      <w:bookmarkStart w:id="9" w:name="_Toc213281188"/>
      <w:bookmarkStart w:id="10" w:name="_Toc215675730"/>
      <w:bookmarkStart w:id="11" w:name="_Toc215675800"/>
      <w:r>
        <w:rPr>
          <w:rFonts w:ascii="Times New Roman" w:hAnsi="Times New Roman" w:eastAsia="黑体" w:cs="Times New Roman"/>
          <w:b w:val="0"/>
          <w:bCs/>
          <w:spacing w:val="-4"/>
          <w:kern w:val="36"/>
          <w:sz w:val="36"/>
          <w:szCs w:val="36"/>
        </w:rPr>
        <w:t>2025 年 12 月</w:t>
      </w:r>
      <w:bookmarkEnd w:id="8"/>
      <w:bookmarkEnd w:id="9"/>
      <w:bookmarkEnd w:id="10"/>
      <w:bookmarkEnd w:id="11"/>
    </w:p>
    <w:p w14:paraId="00806EE9">
      <w:pPr>
        <w:rPr>
          <w:rFonts w:ascii="宋体" w:hAnsi="宋体" w:eastAsia="宋体"/>
        </w:rPr>
      </w:pPr>
    </w:p>
    <w:p w14:paraId="1BE68476">
      <w:pPr>
        <w:widowControl/>
        <w:jc w:val="left"/>
        <w:rPr>
          <w:rFonts w:ascii="宋体" w:hAnsi="宋体" w:eastAsia="宋体"/>
        </w:rPr>
      </w:pPr>
      <w:r>
        <w:rPr>
          <w:rFonts w:ascii="宋体" w:hAnsi="宋体" w:eastAsia="宋体"/>
        </w:rPr>
        <w:br w:type="page"/>
      </w:r>
    </w:p>
    <w:sdt>
      <w:sdtPr>
        <w:rPr>
          <w:rFonts w:asciiTheme="minorHAnsi" w:hAnsiTheme="minorHAnsi" w:eastAsiaTheme="minorEastAsia" w:cstheme="minorBidi"/>
          <w:color w:val="auto"/>
          <w:kern w:val="2"/>
          <w:sz w:val="21"/>
          <w:szCs w:val="22"/>
          <w:lang w:val="zh-CN"/>
        </w:rPr>
        <w:id w:val="-456877426"/>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14:paraId="6F15CF07">
          <w:pPr>
            <w:pStyle w:val="32"/>
            <w:spacing w:line="660" w:lineRule="exact"/>
            <w:jc w:val="center"/>
            <w:rPr>
              <w:rFonts w:ascii="Times New Roman" w:hAnsi="Times New Roman" w:eastAsia="方正仿宋_GB2312" w:cs="Times New Roman"/>
              <w:sz w:val="28"/>
              <w:szCs w:val="28"/>
            </w:rPr>
          </w:pPr>
          <w:r>
            <w:rPr>
              <w:rFonts w:ascii="Times New Roman" w:hAnsi="Times New Roman" w:eastAsia="黑体" w:cs="Times New Roman"/>
              <w:bCs/>
              <w:snapToGrid w:val="0"/>
              <w:color w:val="auto"/>
              <w:sz w:val="40"/>
              <w:szCs w:val="40"/>
              <w:lang w:eastAsia="en-US"/>
            </w:rPr>
            <w:t>目录</w:t>
          </w:r>
          <w:r>
            <w:rPr>
              <w:rFonts w:ascii="Times New Roman" w:hAnsi="Times New Roman" w:eastAsia="方正仿宋_GB2312" w:cs="Times New Roman"/>
              <w:sz w:val="28"/>
              <w:szCs w:val="28"/>
            </w:rPr>
            <w:fldChar w:fldCharType="begin"/>
          </w:r>
          <w:r>
            <w:rPr>
              <w:rFonts w:ascii="Times New Roman" w:hAnsi="Times New Roman" w:eastAsia="方正仿宋_GB2312" w:cs="Times New Roman"/>
              <w:sz w:val="28"/>
              <w:szCs w:val="28"/>
            </w:rPr>
            <w:instrText xml:space="preserve"> TOC \o "1-3" \h \z \u </w:instrText>
          </w:r>
          <w:r>
            <w:rPr>
              <w:rFonts w:ascii="Times New Roman" w:hAnsi="Times New Roman" w:eastAsia="方正仿宋_GB2312" w:cs="Times New Roman"/>
              <w:sz w:val="28"/>
              <w:szCs w:val="28"/>
            </w:rPr>
            <w:fldChar w:fldCharType="separate"/>
          </w:r>
        </w:p>
        <w:p w14:paraId="32B42C7D">
          <w:pPr>
            <w:pStyle w:val="13"/>
            <w:spacing w:line="700" w:lineRule="exact"/>
            <w:rPr>
              <w:rFonts w:ascii="Times New Roman" w:hAnsi="Times New Roman" w:eastAsia="方正仿宋_GB2312" w:cs="Times New Roman"/>
              <w:sz w:val="28"/>
              <w:szCs w:val="28"/>
            </w:rPr>
          </w:pPr>
          <w:r>
            <w:fldChar w:fldCharType="begin"/>
          </w:r>
          <w:r>
            <w:instrText xml:space="preserve"> HYPERLINK \l "_Toc215675801" </w:instrText>
          </w:r>
          <w:r>
            <w:fldChar w:fldCharType="separate"/>
          </w:r>
          <w:r>
            <w:rPr>
              <w:rFonts w:ascii="Times New Roman" w:hAnsi="Times New Roman" w:eastAsia="方正仿宋_GB2312" w:cs="Times New Roman"/>
              <w:sz w:val="28"/>
              <w:szCs w:val="28"/>
            </w:rPr>
            <w:t>1  总则</w:t>
          </w:r>
          <w:r>
            <w:rPr>
              <w:rFonts w:ascii="Times New Roman" w:hAnsi="Times New Roman" w:eastAsia="方正仿宋_GB2312" w:cs="Times New Roman"/>
              <w:sz w:val="28"/>
              <w:szCs w:val="28"/>
            </w:rPr>
            <w:tab/>
          </w:r>
          <w:r>
            <w:rPr>
              <w:rFonts w:ascii="Times New Roman" w:hAnsi="Times New Roman" w:eastAsia="方正仿宋_GB2312" w:cs="Times New Roman"/>
              <w:sz w:val="28"/>
              <w:szCs w:val="28"/>
            </w:rPr>
            <w:fldChar w:fldCharType="begin"/>
          </w:r>
          <w:r>
            <w:rPr>
              <w:rFonts w:ascii="Times New Roman" w:hAnsi="Times New Roman" w:eastAsia="方正仿宋_GB2312" w:cs="Times New Roman"/>
              <w:sz w:val="28"/>
              <w:szCs w:val="28"/>
            </w:rPr>
            <w:instrText xml:space="preserve"> PAGEREF _Toc215675801 \h </w:instrText>
          </w:r>
          <w:r>
            <w:rPr>
              <w:rFonts w:ascii="Times New Roman" w:hAnsi="Times New Roman" w:eastAsia="方正仿宋_GB2312" w:cs="Times New Roman"/>
              <w:sz w:val="28"/>
              <w:szCs w:val="28"/>
            </w:rPr>
            <w:fldChar w:fldCharType="separate"/>
          </w:r>
          <w:r>
            <w:rPr>
              <w:rFonts w:ascii="Times New Roman" w:hAnsi="Times New Roman" w:eastAsia="方正仿宋_GB2312" w:cs="Times New Roman"/>
              <w:sz w:val="28"/>
              <w:szCs w:val="28"/>
            </w:rPr>
            <w:t>1</w:t>
          </w:r>
          <w:r>
            <w:rPr>
              <w:rFonts w:ascii="Times New Roman" w:hAnsi="Times New Roman" w:eastAsia="方正仿宋_GB2312" w:cs="Times New Roman"/>
              <w:sz w:val="28"/>
              <w:szCs w:val="28"/>
            </w:rPr>
            <w:fldChar w:fldCharType="end"/>
          </w:r>
          <w:r>
            <w:rPr>
              <w:rFonts w:ascii="Times New Roman" w:hAnsi="Times New Roman" w:eastAsia="方正仿宋_GB2312" w:cs="Times New Roman"/>
              <w:sz w:val="28"/>
              <w:szCs w:val="28"/>
            </w:rPr>
            <w:fldChar w:fldCharType="end"/>
          </w:r>
        </w:p>
        <w:p w14:paraId="451B9572">
          <w:pPr>
            <w:pStyle w:val="13"/>
            <w:spacing w:line="700" w:lineRule="exact"/>
            <w:rPr>
              <w:rFonts w:ascii="Times New Roman" w:hAnsi="Times New Roman" w:eastAsia="方正仿宋_GB2312" w:cs="Times New Roman"/>
              <w:sz w:val="28"/>
              <w:szCs w:val="28"/>
            </w:rPr>
          </w:pPr>
          <w:r>
            <w:fldChar w:fldCharType="begin"/>
          </w:r>
          <w:r>
            <w:instrText xml:space="preserve"> HYPERLINK \l "_Toc215675802" </w:instrText>
          </w:r>
          <w:r>
            <w:fldChar w:fldCharType="separate"/>
          </w:r>
          <w:r>
            <w:rPr>
              <w:rFonts w:ascii="Times New Roman" w:hAnsi="Times New Roman" w:eastAsia="方正仿宋_GB2312" w:cs="Times New Roman"/>
              <w:sz w:val="28"/>
              <w:szCs w:val="28"/>
            </w:rPr>
            <w:t>2 术语</w:t>
          </w:r>
          <w:r>
            <w:rPr>
              <w:rFonts w:ascii="Times New Roman" w:hAnsi="Times New Roman" w:eastAsia="方正仿宋_GB2312" w:cs="Times New Roman"/>
              <w:sz w:val="28"/>
              <w:szCs w:val="28"/>
            </w:rPr>
            <w:tab/>
          </w:r>
          <w:r>
            <w:rPr>
              <w:rFonts w:ascii="Times New Roman" w:hAnsi="Times New Roman" w:eastAsia="方正仿宋_GB2312" w:cs="Times New Roman"/>
              <w:sz w:val="28"/>
              <w:szCs w:val="28"/>
            </w:rPr>
            <w:fldChar w:fldCharType="begin"/>
          </w:r>
          <w:r>
            <w:rPr>
              <w:rFonts w:ascii="Times New Roman" w:hAnsi="Times New Roman" w:eastAsia="方正仿宋_GB2312" w:cs="Times New Roman"/>
              <w:sz w:val="28"/>
              <w:szCs w:val="28"/>
            </w:rPr>
            <w:instrText xml:space="preserve"> PAGEREF _Toc215675802 \h </w:instrText>
          </w:r>
          <w:r>
            <w:rPr>
              <w:rFonts w:ascii="Times New Roman" w:hAnsi="Times New Roman" w:eastAsia="方正仿宋_GB2312" w:cs="Times New Roman"/>
              <w:sz w:val="28"/>
              <w:szCs w:val="28"/>
            </w:rPr>
            <w:fldChar w:fldCharType="separate"/>
          </w:r>
          <w:r>
            <w:rPr>
              <w:rFonts w:ascii="Times New Roman" w:hAnsi="Times New Roman" w:eastAsia="方正仿宋_GB2312" w:cs="Times New Roman"/>
              <w:sz w:val="28"/>
              <w:szCs w:val="28"/>
            </w:rPr>
            <w:t>2</w:t>
          </w:r>
          <w:r>
            <w:rPr>
              <w:rFonts w:ascii="Times New Roman" w:hAnsi="Times New Roman" w:eastAsia="方正仿宋_GB2312" w:cs="Times New Roman"/>
              <w:sz w:val="28"/>
              <w:szCs w:val="28"/>
            </w:rPr>
            <w:fldChar w:fldCharType="end"/>
          </w:r>
          <w:r>
            <w:rPr>
              <w:rFonts w:ascii="Times New Roman" w:hAnsi="Times New Roman" w:eastAsia="方正仿宋_GB2312" w:cs="Times New Roman"/>
              <w:sz w:val="28"/>
              <w:szCs w:val="28"/>
            </w:rPr>
            <w:fldChar w:fldCharType="end"/>
          </w:r>
        </w:p>
        <w:p w14:paraId="4E410EAE">
          <w:pPr>
            <w:pStyle w:val="13"/>
            <w:spacing w:line="700" w:lineRule="exact"/>
            <w:rPr>
              <w:rFonts w:ascii="Times New Roman" w:hAnsi="Times New Roman" w:eastAsia="方正仿宋_GB2312" w:cs="Times New Roman"/>
              <w:sz w:val="28"/>
              <w:szCs w:val="28"/>
            </w:rPr>
          </w:pPr>
          <w:r>
            <w:fldChar w:fldCharType="begin"/>
          </w:r>
          <w:r>
            <w:instrText xml:space="preserve"> HYPERLINK \l "_Toc215675803" </w:instrText>
          </w:r>
          <w:r>
            <w:fldChar w:fldCharType="separate"/>
          </w:r>
          <w:r>
            <w:rPr>
              <w:rFonts w:ascii="Times New Roman" w:hAnsi="Times New Roman" w:eastAsia="方正仿宋_GB2312" w:cs="Times New Roman"/>
              <w:sz w:val="28"/>
              <w:szCs w:val="28"/>
            </w:rPr>
            <w:t>3  基本要求</w:t>
          </w:r>
          <w:r>
            <w:rPr>
              <w:rFonts w:ascii="Times New Roman" w:hAnsi="Times New Roman" w:eastAsia="方正仿宋_GB2312" w:cs="Times New Roman"/>
              <w:sz w:val="28"/>
              <w:szCs w:val="28"/>
            </w:rPr>
            <w:tab/>
          </w:r>
          <w:r>
            <w:rPr>
              <w:rFonts w:ascii="Times New Roman" w:hAnsi="Times New Roman" w:eastAsia="方正仿宋_GB2312" w:cs="Times New Roman"/>
              <w:sz w:val="28"/>
              <w:szCs w:val="28"/>
            </w:rPr>
            <w:fldChar w:fldCharType="begin"/>
          </w:r>
          <w:r>
            <w:rPr>
              <w:rFonts w:ascii="Times New Roman" w:hAnsi="Times New Roman" w:eastAsia="方正仿宋_GB2312" w:cs="Times New Roman"/>
              <w:sz w:val="28"/>
              <w:szCs w:val="28"/>
            </w:rPr>
            <w:instrText xml:space="preserve"> PAGEREF _Toc215675803 \h </w:instrText>
          </w:r>
          <w:r>
            <w:rPr>
              <w:rFonts w:ascii="Times New Roman" w:hAnsi="Times New Roman" w:eastAsia="方正仿宋_GB2312" w:cs="Times New Roman"/>
              <w:sz w:val="28"/>
              <w:szCs w:val="28"/>
            </w:rPr>
            <w:fldChar w:fldCharType="separate"/>
          </w:r>
          <w:r>
            <w:rPr>
              <w:rFonts w:ascii="Times New Roman" w:hAnsi="Times New Roman" w:eastAsia="方正仿宋_GB2312" w:cs="Times New Roman"/>
              <w:sz w:val="28"/>
              <w:szCs w:val="28"/>
            </w:rPr>
            <w:t>4</w:t>
          </w:r>
          <w:r>
            <w:rPr>
              <w:rFonts w:ascii="Times New Roman" w:hAnsi="Times New Roman" w:eastAsia="方正仿宋_GB2312" w:cs="Times New Roman"/>
              <w:sz w:val="28"/>
              <w:szCs w:val="28"/>
            </w:rPr>
            <w:fldChar w:fldCharType="end"/>
          </w:r>
          <w:r>
            <w:rPr>
              <w:rFonts w:ascii="Times New Roman" w:hAnsi="Times New Roman" w:eastAsia="方正仿宋_GB2312" w:cs="Times New Roman"/>
              <w:sz w:val="28"/>
              <w:szCs w:val="28"/>
            </w:rPr>
            <w:fldChar w:fldCharType="end"/>
          </w:r>
        </w:p>
        <w:p w14:paraId="30DD0201">
          <w:pPr>
            <w:pStyle w:val="13"/>
            <w:spacing w:line="700" w:lineRule="exact"/>
            <w:rPr>
              <w:rFonts w:ascii="Times New Roman" w:hAnsi="Times New Roman" w:eastAsia="方正仿宋_GB2312" w:cs="Times New Roman"/>
              <w:sz w:val="28"/>
              <w:szCs w:val="28"/>
            </w:rPr>
          </w:pPr>
          <w:r>
            <w:fldChar w:fldCharType="begin"/>
          </w:r>
          <w:r>
            <w:instrText xml:space="preserve"> HYPERLINK \l "_Toc215675804" </w:instrText>
          </w:r>
          <w:r>
            <w:fldChar w:fldCharType="separate"/>
          </w:r>
          <w:r>
            <w:rPr>
              <w:rFonts w:ascii="Times New Roman" w:hAnsi="Times New Roman" w:eastAsia="方正仿宋_GB2312" w:cs="Times New Roman"/>
              <w:sz w:val="28"/>
              <w:szCs w:val="28"/>
            </w:rPr>
            <w:t>4  选址要求</w:t>
          </w:r>
          <w:r>
            <w:rPr>
              <w:rFonts w:ascii="Times New Roman" w:hAnsi="Times New Roman" w:eastAsia="方正仿宋_GB2312" w:cs="Times New Roman"/>
              <w:sz w:val="28"/>
              <w:szCs w:val="28"/>
            </w:rPr>
            <w:tab/>
          </w:r>
          <w:r>
            <w:rPr>
              <w:rFonts w:ascii="Times New Roman" w:hAnsi="Times New Roman" w:eastAsia="方正仿宋_GB2312" w:cs="Times New Roman"/>
              <w:sz w:val="28"/>
              <w:szCs w:val="28"/>
            </w:rPr>
            <w:fldChar w:fldCharType="begin"/>
          </w:r>
          <w:r>
            <w:rPr>
              <w:rFonts w:ascii="Times New Roman" w:hAnsi="Times New Roman" w:eastAsia="方正仿宋_GB2312" w:cs="Times New Roman"/>
              <w:sz w:val="28"/>
              <w:szCs w:val="28"/>
            </w:rPr>
            <w:instrText xml:space="preserve"> PAGEREF _Toc215675804 \h </w:instrText>
          </w:r>
          <w:r>
            <w:rPr>
              <w:rFonts w:ascii="Times New Roman" w:hAnsi="Times New Roman" w:eastAsia="方正仿宋_GB2312" w:cs="Times New Roman"/>
              <w:sz w:val="28"/>
              <w:szCs w:val="28"/>
            </w:rPr>
            <w:fldChar w:fldCharType="separate"/>
          </w:r>
          <w:r>
            <w:rPr>
              <w:rFonts w:ascii="Times New Roman" w:hAnsi="Times New Roman" w:eastAsia="方正仿宋_GB2312" w:cs="Times New Roman"/>
              <w:sz w:val="28"/>
              <w:szCs w:val="28"/>
            </w:rPr>
            <w:t>6</w:t>
          </w:r>
          <w:r>
            <w:rPr>
              <w:rFonts w:ascii="Times New Roman" w:hAnsi="Times New Roman" w:eastAsia="方正仿宋_GB2312" w:cs="Times New Roman"/>
              <w:sz w:val="28"/>
              <w:szCs w:val="28"/>
            </w:rPr>
            <w:fldChar w:fldCharType="end"/>
          </w:r>
          <w:r>
            <w:rPr>
              <w:rFonts w:ascii="Times New Roman" w:hAnsi="Times New Roman" w:eastAsia="方正仿宋_GB2312" w:cs="Times New Roman"/>
              <w:sz w:val="28"/>
              <w:szCs w:val="28"/>
            </w:rPr>
            <w:fldChar w:fldCharType="end"/>
          </w:r>
        </w:p>
        <w:p w14:paraId="29A29D35">
          <w:pPr>
            <w:pStyle w:val="13"/>
            <w:spacing w:line="700" w:lineRule="exact"/>
            <w:rPr>
              <w:rFonts w:ascii="Times New Roman" w:hAnsi="Times New Roman" w:eastAsia="方正仿宋_GB2312" w:cs="Times New Roman"/>
              <w:sz w:val="28"/>
              <w:szCs w:val="28"/>
            </w:rPr>
          </w:pPr>
          <w:r>
            <w:fldChar w:fldCharType="begin"/>
          </w:r>
          <w:r>
            <w:instrText xml:space="preserve"> HYPERLINK \l "_Toc215675805" </w:instrText>
          </w:r>
          <w:r>
            <w:fldChar w:fldCharType="separate"/>
          </w:r>
          <w:r>
            <w:rPr>
              <w:rFonts w:ascii="Times New Roman" w:hAnsi="Times New Roman" w:eastAsia="方正仿宋_GB2312" w:cs="Times New Roman"/>
              <w:sz w:val="28"/>
              <w:szCs w:val="28"/>
            </w:rPr>
            <w:t>5  总平面</w:t>
          </w:r>
          <w:r>
            <w:rPr>
              <w:rFonts w:ascii="Times New Roman" w:hAnsi="Times New Roman" w:eastAsia="方正仿宋_GB2312" w:cs="Times New Roman"/>
              <w:sz w:val="28"/>
              <w:szCs w:val="28"/>
            </w:rPr>
            <w:tab/>
          </w:r>
          <w:r>
            <w:rPr>
              <w:rFonts w:ascii="Times New Roman" w:hAnsi="Times New Roman" w:eastAsia="方正仿宋_GB2312" w:cs="Times New Roman"/>
              <w:sz w:val="28"/>
              <w:szCs w:val="28"/>
            </w:rPr>
            <w:fldChar w:fldCharType="begin"/>
          </w:r>
          <w:r>
            <w:rPr>
              <w:rFonts w:ascii="Times New Roman" w:hAnsi="Times New Roman" w:eastAsia="方正仿宋_GB2312" w:cs="Times New Roman"/>
              <w:sz w:val="28"/>
              <w:szCs w:val="28"/>
            </w:rPr>
            <w:instrText xml:space="preserve"> PAGEREF _Toc215675805 \h </w:instrText>
          </w:r>
          <w:r>
            <w:rPr>
              <w:rFonts w:ascii="Times New Roman" w:hAnsi="Times New Roman" w:eastAsia="方正仿宋_GB2312" w:cs="Times New Roman"/>
              <w:sz w:val="28"/>
              <w:szCs w:val="28"/>
            </w:rPr>
            <w:fldChar w:fldCharType="separate"/>
          </w:r>
          <w:r>
            <w:rPr>
              <w:rFonts w:ascii="Times New Roman" w:hAnsi="Times New Roman" w:eastAsia="方正仿宋_GB2312" w:cs="Times New Roman"/>
              <w:sz w:val="28"/>
              <w:szCs w:val="28"/>
            </w:rPr>
            <w:t>7</w:t>
          </w:r>
          <w:r>
            <w:rPr>
              <w:rFonts w:ascii="Times New Roman" w:hAnsi="Times New Roman" w:eastAsia="方正仿宋_GB2312" w:cs="Times New Roman"/>
              <w:sz w:val="28"/>
              <w:szCs w:val="28"/>
            </w:rPr>
            <w:fldChar w:fldCharType="end"/>
          </w:r>
          <w:r>
            <w:rPr>
              <w:rFonts w:ascii="Times New Roman" w:hAnsi="Times New Roman" w:eastAsia="方正仿宋_GB2312" w:cs="Times New Roman"/>
              <w:sz w:val="28"/>
              <w:szCs w:val="28"/>
            </w:rPr>
            <w:fldChar w:fldCharType="end"/>
          </w:r>
        </w:p>
        <w:p w14:paraId="5E75C09C">
          <w:pPr>
            <w:pStyle w:val="13"/>
            <w:spacing w:line="700" w:lineRule="exact"/>
            <w:rPr>
              <w:rFonts w:ascii="Times New Roman" w:hAnsi="Times New Roman" w:eastAsia="方正仿宋_GB2312" w:cs="Times New Roman"/>
              <w:sz w:val="28"/>
              <w:szCs w:val="28"/>
            </w:rPr>
          </w:pPr>
          <w:r>
            <w:fldChar w:fldCharType="begin"/>
          </w:r>
          <w:r>
            <w:instrText xml:space="preserve"> HYPERLINK \l "_Toc215675806" </w:instrText>
          </w:r>
          <w:r>
            <w:fldChar w:fldCharType="separate"/>
          </w:r>
          <w:r>
            <w:rPr>
              <w:rFonts w:ascii="Times New Roman" w:hAnsi="Times New Roman" w:eastAsia="方正仿宋_GB2312" w:cs="Times New Roman"/>
              <w:sz w:val="28"/>
              <w:szCs w:val="28"/>
            </w:rPr>
            <w:t>6  建筑</w:t>
          </w:r>
          <w:r>
            <w:rPr>
              <w:rFonts w:ascii="Times New Roman" w:hAnsi="Times New Roman" w:eastAsia="方正仿宋_GB2312" w:cs="Times New Roman"/>
              <w:sz w:val="28"/>
              <w:szCs w:val="28"/>
            </w:rPr>
            <w:tab/>
          </w:r>
          <w:r>
            <w:rPr>
              <w:rFonts w:ascii="Times New Roman" w:hAnsi="Times New Roman" w:eastAsia="方正仿宋_GB2312" w:cs="Times New Roman"/>
              <w:sz w:val="28"/>
              <w:szCs w:val="28"/>
            </w:rPr>
            <w:fldChar w:fldCharType="begin"/>
          </w:r>
          <w:r>
            <w:rPr>
              <w:rFonts w:ascii="Times New Roman" w:hAnsi="Times New Roman" w:eastAsia="方正仿宋_GB2312" w:cs="Times New Roman"/>
              <w:sz w:val="28"/>
              <w:szCs w:val="28"/>
            </w:rPr>
            <w:instrText xml:space="preserve"> PAGEREF _Toc215675806 \h </w:instrText>
          </w:r>
          <w:r>
            <w:rPr>
              <w:rFonts w:ascii="Times New Roman" w:hAnsi="Times New Roman" w:eastAsia="方正仿宋_GB2312" w:cs="Times New Roman"/>
              <w:sz w:val="28"/>
              <w:szCs w:val="28"/>
            </w:rPr>
            <w:fldChar w:fldCharType="separate"/>
          </w:r>
          <w:r>
            <w:rPr>
              <w:rFonts w:ascii="Times New Roman" w:hAnsi="Times New Roman" w:eastAsia="方正仿宋_GB2312" w:cs="Times New Roman"/>
              <w:sz w:val="28"/>
              <w:szCs w:val="28"/>
            </w:rPr>
            <w:t>9</w:t>
          </w:r>
          <w:r>
            <w:rPr>
              <w:rFonts w:ascii="Times New Roman" w:hAnsi="Times New Roman" w:eastAsia="方正仿宋_GB2312" w:cs="Times New Roman"/>
              <w:sz w:val="28"/>
              <w:szCs w:val="28"/>
            </w:rPr>
            <w:fldChar w:fldCharType="end"/>
          </w:r>
          <w:r>
            <w:rPr>
              <w:rFonts w:ascii="Times New Roman" w:hAnsi="Times New Roman" w:eastAsia="方正仿宋_GB2312" w:cs="Times New Roman"/>
              <w:sz w:val="28"/>
              <w:szCs w:val="28"/>
            </w:rPr>
            <w:fldChar w:fldCharType="end"/>
          </w:r>
        </w:p>
        <w:p w14:paraId="666B1003">
          <w:pPr>
            <w:pStyle w:val="13"/>
            <w:spacing w:line="700" w:lineRule="exact"/>
            <w:rPr>
              <w:rFonts w:ascii="Times New Roman" w:hAnsi="Times New Roman" w:eastAsia="方正仿宋_GB2312" w:cs="Times New Roman"/>
              <w:sz w:val="28"/>
              <w:szCs w:val="28"/>
            </w:rPr>
          </w:pPr>
          <w:r>
            <w:fldChar w:fldCharType="begin"/>
          </w:r>
          <w:r>
            <w:instrText xml:space="preserve"> HYPERLINK \l "_Toc215675807" </w:instrText>
          </w:r>
          <w:r>
            <w:fldChar w:fldCharType="separate"/>
          </w:r>
          <w:r>
            <w:rPr>
              <w:rFonts w:ascii="Times New Roman" w:hAnsi="Times New Roman" w:eastAsia="方正仿宋_GB2312" w:cs="Times New Roman"/>
              <w:sz w:val="28"/>
              <w:szCs w:val="28"/>
            </w:rPr>
            <w:t>6.1  外区</w:t>
          </w:r>
          <w:r>
            <w:rPr>
              <w:rFonts w:ascii="Times New Roman" w:hAnsi="Times New Roman" w:eastAsia="方正仿宋_GB2312" w:cs="Times New Roman"/>
              <w:sz w:val="28"/>
              <w:szCs w:val="28"/>
            </w:rPr>
            <w:tab/>
          </w:r>
          <w:r>
            <w:rPr>
              <w:rFonts w:ascii="Times New Roman" w:hAnsi="Times New Roman" w:eastAsia="方正仿宋_GB2312" w:cs="Times New Roman"/>
              <w:sz w:val="28"/>
              <w:szCs w:val="28"/>
            </w:rPr>
            <w:fldChar w:fldCharType="begin"/>
          </w:r>
          <w:r>
            <w:rPr>
              <w:rFonts w:ascii="Times New Roman" w:hAnsi="Times New Roman" w:eastAsia="方正仿宋_GB2312" w:cs="Times New Roman"/>
              <w:sz w:val="28"/>
              <w:szCs w:val="28"/>
            </w:rPr>
            <w:instrText xml:space="preserve"> PAGEREF _Toc215675807 \h </w:instrText>
          </w:r>
          <w:r>
            <w:rPr>
              <w:rFonts w:ascii="Times New Roman" w:hAnsi="Times New Roman" w:eastAsia="方正仿宋_GB2312" w:cs="Times New Roman"/>
              <w:sz w:val="28"/>
              <w:szCs w:val="28"/>
            </w:rPr>
            <w:fldChar w:fldCharType="separate"/>
          </w:r>
          <w:r>
            <w:rPr>
              <w:rFonts w:ascii="Times New Roman" w:hAnsi="Times New Roman" w:eastAsia="方正仿宋_GB2312" w:cs="Times New Roman"/>
              <w:sz w:val="28"/>
              <w:szCs w:val="28"/>
            </w:rPr>
            <w:t>9</w:t>
          </w:r>
          <w:r>
            <w:rPr>
              <w:rFonts w:ascii="Times New Roman" w:hAnsi="Times New Roman" w:eastAsia="方正仿宋_GB2312" w:cs="Times New Roman"/>
              <w:sz w:val="28"/>
              <w:szCs w:val="28"/>
            </w:rPr>
            <w:fldChar w:fldCharType="end"/>
          </w:r>
          <w:r>
            <w:rPr>
              <w:rFonts w:ascii="Times New Roman" w:hAnsi="Times New Roman" w:eastAsia="方正仿宋_GB2312" w:cs="Times New Roman"/>
              <w:sz w:val="28"/>
              <w:szCs w:val="28"/>
            </w:rPr>
            <w:fldChar w:fldCharType="end"/>
          </w:r>
        </w:p>
        <w:p w14:paraId="34524025">
          <w:pPr>
            <w:pStyle w:val="13"/>
            <w:spacing w:line="700" w:lineRule="exact"/>
            <w:rPr>
              <w:rFonts w:ascii="Times New Roman" w:hAnsi="Times New Roman" w:eastAsia="方正仿宋_GB2312" w:cs="Times New Roman"/>
              <w:sz w:val="28"/>
              <w:szCs w:val="28"/>
            </w:rPr>
          </w:pPr>
          <w:r>
            <w:fldChar w:fldCharType="begin"/>
          </w:r>
          <w:r>
            <w:instrText xml:space="preserve"> HYPERLINK \l "_Toc215675808" </w:instrText>
          </w:r>
          <w:r>
            <w:fldChar w:fldCharType="separate"/>
          </w:r>
          <w:r>
            <w:rPr>
              <w:rFonts w:ascii="Times New Roman" w:hAnsi="Times New Roman" w:eastAsia="方正仿宋_GB2312" w:cs="Times New Roman"/>
              <w:sz w:val="28"/>
              <w:szCs w:val="28"/>
            </w:rPr>
            <w:t>6.2  缓冲区</w:t>
          </w:r>
          <w:r>
            <w:rPr>
              <w:rFonts w:ascii="Times New Roman" w:hAnsi="Times New Roman" w:eastAsia="方正仿宋_GB2312" w:cs="Times New Roman"/>
              <w:sz w:val="28"/>
              <w:szCs w:val="28"/>
            </w:rPr>
            <w:tab/>
          </w:r>
          <w:r>
            <w:rPr>
              <w:rFonts w:ascii="Times New Roman" w:hAnsi="Times New Roman" w:eastAsia="方正仿宋_GB2312" w:cs="Times New Roman"/>
              <w:sz w:val="28"/>
              <w:szCs w:val="28"/>
            </w:rPr>
            <w:fldChar w:fldCharType="begin"/>
          </w:r>
          <w:r>
            <w:rPr>
              <w:rFonts w:ascii="Times New Roman" w:hAnsi="Times New Roman" w:eastAsia="方正仿宋_GB2312" w:cs="Times New Roman"/>
              <w:sz w:val="28"/>
              <w:szCs w:val="28"/>
            </w:rPr>
            <w:instrText xml:space="preserve"> PAGEREF _Toc215675808 \h </w:instrText>
          </w:r>
          <w:r>
            <w:rPr>
              <w:rFonts w:ascii="Times New Roman" w:hAnsi="Times New Roman" w:eastAsia="方正仿宋_GB2312" w:cs="Times New Roman"/>
              <w:sz w:val="28"/>
              <w:szCs w:val="28"/>
            </w:rPr>
            <w:fldChar w:fldCharType="separate"/>
          </w:r>
          <w:r>
            <w:rPr>
              <w:rFonts w:ascii="Times New Roman" w:hAnsi="Times New Roman" w:eastAsia="方正仿宋_GB2312" w:cs="Times New Roman"/>
              <w:sz w:val="28"/>
              <w:szCs w:val="28"/>
            </w:rPr>
            <w:t>10</w:t>
          </w:r>
          <w:r>
            <w:rPr>
              <w:rFonts w:ascii="Times New Roman" w:hAnsi="Times New Roman" w:eastAsia="方正仿宋_GB2312" w:cs="Times New Roman"/>
              <w:sz w:val="28"/>
              <w:szCs w:val="28"/>
            </w:rPr>
            <w:fldChar w:fldCharType="end"/>
          </w:r>
          <w:r>
            <w:rPr>
              <w:rFonts w:ascii="Times New Roman" w:hAnsi="Times New Roman" w:eastAsia="方正仿宋_GB2312" w:cs="Times New Roman"/>
              <w:sz w:val="28"/>
              <w:szCs w:val="28"/>
            </w:rPr>
            <w:fldChar w:fldCharType="end"/>
          </w:r>
        </w:p>
        <w:p w14:paraId="5273AB59">
          <w:pPr>
            <w:pStyle w:val="13"/>
            <w:spacing w:line="700" w:lineRule="exact"/>
            <w:rPr>
              <w:rFonts w:ascii="Times New Roman" w:hAnsi="Times New Roman" w:eastAsia="方正仿宋_GB2312" w:cs="Times New Roman"/>
              <w:sz w:val="28"/>
              <w:szCs w:val="28"/>
            </w:rPr>
          </w:pPr>
          <w:r>
            <w:fldChar w:fldCharType="begin"/>
          </w:r>
          <w:r>
            <w:instrText xml:space="preserve"> HYPERLINK \l "_Toc215675809" </w:instrText>
          </w:r>
          <w:r>
            <w:fldChar w:fldCharType="separate"/>
          </w:r>
          <w:r>
            <w:rPr>
              <w:rFonts w:ascii="Times New Roman" w:hAnsi="Times New Roman" w:eastAsia="方正仿宋_GB2312" w:cs="Times New Roman"/>
              <w:sz w:val="28"/>
              <w:szCs w:val="28"/>
            </w:rPr>
            <w:t>6.3  内区</w:t>
          </w:r>
          <w:r>
            <w:rPr>
              <w:rFonts w:ascii="Times New Roman" w:hAnsi="Times New Roman" w:eastAsia="方正仿宋_GB2312" w:cs="Times New Roman"/>
              <w:sz w:val="28"/>
              <w:szCs w:val="28"/>
            </w:rPr>
            <w:tab/>
          </w:r>
          <w:r>
            <w:rPr>
              <w:rFonts w:ascii="Times New Roman" w:hAnsi="Times New Roman" w:eastAsia="方正仿宋_GB2312" w:cs="Times New Roman"/>
              <w:sz w:val="28"/>
              <w:szCs w:val="28"/>
            </w:rPr>
            <w:fldChar w:fldCharType="begin"/>
          </w:r>
          <w:r>
            <w:rPr>
              <w:rFonts w:ascii="Times New Roman" w:hAnsi="Times New Roman" w:eastAsia="方正仿宋_GB2312" w:cs="Times New Roman"/>
              <w:sz w:val="28"/>
              <w:szCs w:val="28"/>
            </w:rPr>
            <w:instrText xml:space="preserve"> PAGEREF _Toc215675809 \h </w:instrText>
          </w:r>
          <w:r>
            <w:rPr>
              <w:rFonts w:ascii="Times New Roman" w:hAnsi="Times New Roman" w:eastAsia="方正仿宋_GB2312" w:cs="Times New Roman"/>
              <w:sz w:val="28"/>
              <w:szCs w:val="28"/>
            </w:rPr>
            <w:fldChar w:fldCharType="separate"/>
          </w:r>
          <w:r>
            <w:rPr>
              <w:rFonts w:ascii="Times New Roman" w:hAnsi="Times New Roman" w:eastAsia="方正仿宋_GB2312" w:cs="Times New Roman"/>
              <w:sz w:val="28"/>
              <w:szCs w:val="28"/>
            </w:rPr>
            <w:t>11</w:t>
          </w:r>
          <w:r>
            <w:rPr>
              <w:rFonts w:ascii="Times New Roman" w:hAnsi="Times New Roman" w:eastAsia="方正仿宋_GB2312" w:cs="Times New Roman"/>
              <w:sz w:val="28"/>
              <w:szCs w:val="28"/>
            </w:rPr>
            <w:fldChar w:fldCharType="end"/>
          </w:r>
          <w:r>
            <w:rPr>
              <w:rFonts w:ascii="Times New Roman" w:hAnsi="Times New Roman" w:eastAsia="方正仿宋_GB2312" w:cs="Times New Roman"/>
              <w:sz w:val="28"/>
              <w:szCs w:val="28"/>
            </w:rPr>
            <w:fldChar w:fldCharType="end"/>
          </w:r>
        </w:p>
        <w:p w14:paraId="3A81625A">
          <w:pPr>
            <w:pStyle w:val="13"/>
            <w:spacing w:line="700" w:lineRule="exact"/>
            <w:rPr>
              <w:rFonts w:ascii="Times New Roman" w:hAnsi="Times New Roman" w:eastAsia="方正仿宋_GB2312" w:cs="Times New Roman"/>
              <w:sz w:val="28"/>
              <w:szCs w:val="28"/>
            </w:rPr>
          </w:pPr>
          <w:r>
            <w:fldChar w:fldCharType="begin"/>
          </w:r>
          <w:r>
            <w:instrText xml:space="preserve"> HYPERLINK \l "_Toc215675810" </w:instrText>
          </w:r>
          <w:r>
            <w:fldChar w:fldCharType="separate"/>
          </w:r>
          <w:r>
            <w:rPr>
              <w:rFonts w:ascii="Times New Roman" w:hAnsi="Times New Roman" w:eastAsia="方正仿宋_GB2312" w:cs="Times New Roman"/>
              <w:sz w:val="28"/>
              <w:szCs w:val="28"/>
            </w:rPr>
            <w:t>6.4  其他</w:t>
          </w:r>
          <w:r>
            <w:rPr>
              <w:rFonts w:ascii="Times New Roman" w:hAnsi="Times New Roman" w:eastAsia="方正仿宋_GB2312" w:cs="Times New Roman"/>
              <w:sz w:val="28"/>
              <w:szCs w:val="28"/>
            </w:rPr>
            <w:tab/>
          </w:r>
          <w:r>
            <w:rPr>
              <w:rFonts w:ascii="Times New Roman" w:hAnsi="Times New Roman" w:eastAsia="方正仿宋_GB2312" w:cs="Times New Roman"/>
              <w:sz w:val="28"/>
              <w:szCs w:val="28"/>
            </w:rPr>
            <w:fldChar w:fldCharType="begin"/>
          </w:r>
          <w:r>
            <w:rPr>
              <w:rFonts w:ascii="Times New Roman" w:hAnsi="Times New Roman" w:eastAsia="方正仿宋_GB2312" w:cs="Times New Roman"/>
              <w:sz w:val="28"/>
              <w:szCs w:val="28"/>
            </w:rPr>
            <w:instrText xml:space="preserve"> PAGEREF _Toc215675810 \h </w:instrText>
          </w:r>
          <w:r>
            <w:rPr>
              <w:rFonts w:ascii="Times New Roman" w:hAnsi="Times New Roman" w:eastAsia="方正仿宋_GB2312" w:cs="Times New Roman"/>
              <w:sz w:val="28"/>
              <w:szCs w:val="28"/>
            </w:rPr>
            <w:fldChar w:fldCharType="separate"/>
          </w:r>
          <w:r>
            <w:rPr>
              <w:rFonts w:ascii="Times New Roman" w:hAnsi="Times New Roman" w:eastAsia="方正仿宋_GB2312" w:cs="Times New Roman"/>
              <w:sz w:val="28"/>
              <w:szCs w:val="28"/>
            </w:rPr>
            <w:t>11</w:t>
          </w:r>
          <w:r>
            <w:rPr>
              <w:rFonts w:ascii="Times New Roman" w:hAnsi="Times New Roman" w:eastAsia="方正仿宋_GB2312" w:cs="Times New Roman"/>
              <w:sz w:val="28"/>
              <w:szCs w:val="28"/>
            </w:rPr>
            <w:fldChar w:fldCharType="end"/>
          </w:r>
          <w:r>
            <w:rPr>
              <w:rFonts w:ascii="Times New Roman" w:hAnsi="Times New Roman" w:eastAsia="方正仿宋_GB2312" w:cs="Times New Roman"/>
              <w:sz w:val="28"/>
              <w:szCs w:val="28"/>
            </w:rPr>
            <w:fldChar w:fldCharType="end"/>
          </w:r>
        </w:p>
        <w:p w14:paraId="10A6FB8D">
          <w:pPr>
            <w:pStyle w:val="13"/>
            <w:spacing w:line="700" w:lineRule="exact"/>
            <w:rPr>
              <w:rFonts w:ascii="Times New Roman" w:hAnsi="Times New Roman" w:eastAsia="方正仿宋_GB2312" w:cs="Times New Roman"/>
              <w:sz w:val="28"/>
              <w:szCs w:val="28"/>
            </w:rPr>
          </w:pPr>
          <w:r>
            <w:fldChar w:fldCharType="begin"/>
          </w:r>
          <w:r>
            <w:instrText xml:space="preserve"> HYPERLINK \l "_Toc215675811" </w:instrText>
          </w:r>
          <w:r>
            <w:fldChar w:fldCharType="separate"/>
          </w:r>
          <w:r>
            <w:rPr>
              <w:rFonts w:ascii="Times New Roman" w:hAnsi="Times New Roman" w:eastAsia="方正仿宋_GB2312" w:cs="Times New Roman"/>
              <w:sz w:val="28"/>
              <w:szCs w:val="28"/>
            </w:rPr>
            <w:t>7  结构</w:t>
          </w:r>
          <w:r>
            <w:rPr>
              <w:rFonts w:ascii="Times New Roman" w:hAnsi="Times New Roman" w:eastAsia="方正仿宋_GB2312" w:cs="Times New Roman"/>
              <w:sz w:val="28"/>
              <w:szCs w:val="28"/>
            </w:rPr>
            <w:tab/>
          </w:r>
          <w:r>
            <w:rPr>
              <w:rFonts w:ascii="Times New Roman" w:hAnsi="Times New Roman" w:eastAsia="方正仿宋_GB2312" w:cs="Times New Roman"/>
              <w:sz w:val="28"/>
              <w:szCs w:val="28"/>
            </w:rPr>
            <w:fldChar w:fldCharType="begin"/>
          </w:r>
          <w:r>
            <w:rPr>
              <w:rFonts w:ascii="Times New Roman" w:hAnsi="Times New Roman" w:eastAsia="方正仿宋_GB2312" w:cs="Times New Roman"/>
              <w:sz w:val="28"/>
              <w:szCs w:val="28"/>
            </w:rPr>
            <w:instrText xml:space="preserve"> PAGEREF _Toc215675811 \h </w:instrText>
          </w:r>
          <w:r>
            <w:rPr>
              <w:rFonts w:ascii="Times New Roman" w:hAnsi="Times New Roman" w:eastAsia="方正仿宋_GB2312" w:cs="Times New Roman"/>
              <w:sz w:val="28"/>
              <w:szCs w:val="28"/>
            </w:rPr>
            <w:fldChar w:fldCharType="separate"/>
          </w:r>
          <w:r>
            <w:rPr>
              <w:rFonts w:ascii="Times New Roman" w:hAnsi="Times New Roman" w:eastAsia="方正仿宋_GB2312" w:cs="Times New Roman"/>
              <w:sz w:val="28"/>
              <w:szCs w:val="28"/>
            </w:rPr>
            <w:t>13</w:t>
          </w:r>
          <w:r>
            <w:rPr>
              <w:rFonts w:ascii="Times New Roman" w:hAnsi="Times New Roman" w:eastAsia="方正仿宋_GB2312" w:cs="Times New Roman"/>
              <w:sz w:val="28"/>
              <w:szCs w:val="28"/>
            </w:rPr>
            <w:fldChar w:fldCharType="end"/>
          </w:r>
          <w:r>
            <w:rPr>
              <w:rFonts w:ascii="Times New Roman" w:hAnsi="Times New Roman" w:eastAsia="方正仿宋_GB2312" w:cs="Times New Roman"/>
              <w:sz w:val="28"/>
              <w:szCs w:val="28"/>
            </w:rPr>
            <w:fldChar w:fldCharType="end"/>
          </w:r>
        </w:p>
        <w:p w14:paraId="710D166E">
          <w:pPr>
            <w:pStyle w:val="13"/>
            <w:spacing w:line="700" w:lineRule="exact"/>
            <w:rPr>
              <w:rFonts w:ascii="Times New Roman" w:hAnsi="Times New Roman" w:eastAsia="方正仿宋_GB2312" w:cs="Times New Roman"/>
              <w:sz w:val="28"/>
              <w:szCs w:val="28"/>
            </w:rPr>
          </w:pPr>
          <w:r>
            <w:fldChar w:fldCharType="begin"/>
          </w:r>
          <w:r>
            <w:instrText xml:space="preserve"> HYPERLINK \l "_Toc215675812" </w:instrText>
          </w:r>
          <w:r>
            <w:fldChar w:fldCharType="separate"/>
          </w:r>
          <w:r>
            <w:rPr>
              <w:rFonts w:ascii="Times New Roman" w:hAnsi="Times New Roman" w:eastAsia="方正仿宋_GB2312" w:cs="Times New Roman"/>
              <w:sz w:val="28"/>
              <w:szCs w:val="28"/>
            </w:rPr>
            <w:t>8  给排水</w:t>
          </w:r>
          <w:r>
            <w:rPr>
              <w:rFonts w:ascii="Times New Roman" w:hAnsi="Times New Roman" w:eastAsia="方正仿宋_GB2312" w:cs="Times New Roman"/>
              <w:sz w:val="28"/>
              <w:szCs w:val="28"/>
            </w:rPr>
            <w:tab/>
          </w:r>
          <w:r>
            <w:rPr>
              <w:rFonts w:ascii="Times New Roman" w:hAnsi="Times New Roman" w:eastAsia="方正仿宋_GB2312" w:cs="Times New Roman"/>
              <w:sz w:val="28"/>
              <w:szCs w:val="28"/>
            </w:rPr>
            <w:fldChar w:fldCharType="begin"/>
          </w:r>
          <w:r>
            <w:rPr>
              <w:rFonts w:ascii="Times New Roman" w:hAnsi="Times New Roman" w:eastAsia="方正仿宋_GB2312" w:cs="Times New Roman"/>
              <w:sz w:val="28"/>
              <w:szCs w:val="28"/>
            </w:rPr>
            <w:instrText xml:space="preserve"> PAGEREF _Toc215675812 \h </w:instrText>
          </w:r>
          <w:r>
            <w:rPr>
              <w:rFonts w:ascii="Times New Roman" w:hAnsi="Times New Roman" w:eastAsia="方正仿宋_GB2312" w:cs="Times New Roman"/>
              <w:sz w:val="28"/>
              <w:szCs w:val="28"/>
            </w:rPr>
            <w:fldChar w:fldCharType="separate"/>
          </w:r>
          <w:r>
            <w:rPr>
              <w:rFonts w:ascii="Times New Roman" w:hAnsi="Times New Roman" w:eastAsia="方正仿宋_GB2312" w:cs="Times New Roman"/>
              <w:sz w:val="28"/>
              <w:szCs w:val="28"/>
            </w:rPr>
            <w:t>15</w:t>
          </w:r>
          <w:r>
            <w:rPr>
              <w:rFonts w:ascii="Times New Roman" w:hAnsi="Times New Roman" w:eastAsia="方正仿宋_GB2312" w:cs="Times New Roman"/>
              <w:sz w:val="28"/>
              <w:szCs w:val="28"/>
            </w:rPr>
            <w:fldChar w:fldCharType="end"/>
          </w:r>
          <w:r>
            <w:rPr>
              <w:rFonts w:ascii="Times New Roman" w:hAnsi="Times New Roman" w:eastAsia="方正仿宋_GB2312" w:cs="Times New Roman"/>
              <w:sz w:val="28"/>
              <w:szCs w:val="28"/>
            </w:rPr>
            <w:fldChar w:fldCharType="end"/>
          </w:r>
        </w:p>
        <w:p w14:paraId="1E225B5F">
          <w:pPr>
            <w:pStyle w:val="13"/>
            <w:spacing w:line="700" w:lineRule="exact"/>
            <w:rPr>
              <w:rFonts w:ascii="Times New Roman" w:hAnsi="Times New Roman" w:eastAsia="方正仿宋_GB2312" w:cs="Times New Roman"/>
              <w:sz w:val="28"/>
              <w:szCs w:val="28"/>
            </w:rPr>
          </w:pPr>
          <w:r>
            <w:fldChar w:fldCharType="begin"/>
          </w:r>
          <w:r>
            <w:instrText xml:space="preserve"> HYPERLINK \l "_Toc215675813" </w:instrText>
          </w:r>
          <w:r>
            <w:fldChar w:fldCharType="separate"/>
          </w:r>
          <w:r>
            <w:rPr>
              <w:rFonts w:ascii="Times New Roman" w:hAnsi="Times New Roman" w:eastAsia="方正仿宋_GB2312" w:cs="Times New Roman"/>
              <w:sz w:val="28"/>
              <w:szCs w:val="28"/>
            </w:rPr>
            <w:t>9  供暖、通风与空调</w:t>
          </w:r>
          <w:r>
            <w:rPr>
              <w:rFonts w:ascii="Times New Roman" w:hAnsi="Times New Roman" w:eastAsia="方正仿宋_GB2312" w:cs="Times New Roman"/>
              <w:sz w:val="28"/>
              <w:szCs w:val="28"/>
            </w:rPr>
            <w:tab/>
          </w:r>
          <w:r>
            <w:rPr>
              <w:rFonts w:ascii="Times New Roman" w:hAnsi="Times New Roman" w:eastAsia="方正仿宋_GB2312" w:cs="Times New Roman"/>
              <w:sz w:val="28"/>
              <w:szCs w:val="28"/>
            </w:rPr>
            <w:fldChar w:fldCharType="begin"/>
          </w:r>
          <w:r>
            <w:rPr>
              <w:rFonts w:ascii="Times New Roman" w:hAnsi="Times New Roman" w:eastAsia="方正仿宋_GB2312" w:cs="Times New Roman"/>
              <w:sz w:val="28"/>
              <w:szCs w:val="28"/>
            </w:rPr>
            <w:instrText xml:space="preserve"> PAGEREF _Toc215675813 \h </w:instrText>
          </w:r>
          <w:r>
            <w:rPr>
              <w:rFonts w:ascii="Times New Roman" w:hAnsi="Times New Roman" w:eastAsia="方正仿宋_GB2312" w:cs="Times New Roman"/>
              <w:sz w:val="28"/>
              <w:szCs w:val="28"/>
            </w:rPr>
            <w:fldChar w:fldCharType="separate"/>
          </w:r>
          <w:r>
            <w:rPr>
              <w:rFonts w:ascii="Times New Roman" w:hAnsi="Times New Roman" w:eastAsia="方正仿宋_GB2312" w:cs="Times New Roman"/>
              <w:sz w:val="28"/>
              <w:szCs w:val="28"/>
            </w:rPr>
            <w:t>17</w:t>
          </w:r>
          <w:r>
            <w:rPr>
              <w:rFonts w:ascii="Times New Roman" w:hAnsi="Times New Roman" w:eastAsia="方正仿宋_GB2312" w:cs="Times New Roman"/>
              <w:sz w:val="28"/>
              <w:szCs w:val="28"/>
            </w:rPr>
            <w:fldChar w:fldCharType="end"/>
          </w:r>
          <w:r>
            <w:rPr>
              <w:rFonts w:ascii="Times New Roman" w:hAnsi="Times New Roman" w:eastAsia="方正仿宋_GB2312" w:cs="Times New Roman"/>
              <w:sz w:val="28"/>
              <w:szCs w:val="28"/>
            </w:rPr>
            <w:fldChar w:fldCharType="end"/>
          </w:r>
        </w:p>
        <w:p w14:paraId="27180416">
          <w:pPr>
            <w:pStyle w:val="13"/>
            <w:spacing w:line="700" w:lineRule="exact"/>
            <w:rPr>
              <w:rFonts w:ascii="Times New Roman" w:hAnsi="Times New Roman" w:eastAsia="方正仿宋_GB2312" w:cs="Times New Roman"/>
              <w:sz w:val="28"/>
              <w:szCs w:val="28"/>
            </w:rPr>
          </w:pPr>
          <w:r>
            <w:fldChar w:fldCharType="begin"/>
          </w:r>
          <w:r>
            <w:instrText xml:space="preserve"> HYPERLINK \l "_Toc215675814" </w:instrText>
          </w:r>
          <w:r>
            <w:fldChar w:fldCharType="separate"/>
          </w:r>
          <w:r>
            <w:rPr>
              <w:rFonts w:ascii="Times New Roman" w:hAnsi="Times New Roman" w:eastAsia="方正仿宋_GB2312" w:cs="Times New Roman"/>
              <w:sz w:val="28"/>
              <w:szCs w:val="28"/>
            </w:rPr>
            <w:t>10  电气</w:t>
          </w:r>
          <w:r>
            <w:rPr>
              <w:rFonts w:ascii="Times New Roman" w:hAnsi="Times New Roman" w:eastAsia="方正仿宋_GB2312" w:cs="Times New Roman"/>
              <w:sz w:val="28"/>
              <w:szCs w:val="28"/>
            </w:rPr>
            <w:tab/>
          </w:r>
          <w:r>
            <w:rPr>
              <w:rFonts w:ascii="Times New Roman" w:hAnsi="Times New Roman" w:eastAsia="方正仿宋_GB2312" w:cs="Times New Roman"/>
              <w:sz w:val="28"/>
              <w:szCs w:val="28"/>
            </w:rPr>
            <w:fldChar w:fldCharType="begin"/>
          </w:r>
          <w:r>
            <w:rPr>
              <w:rFonts w:ascii="Times New Roman" w:hAnsi="Times New Roman" w:eastAsia="方正仿宋_GB2312" w:cs="Times New Roman"/>
              <w:sz w:val="28"/>
              <w:szCs w:val="28"/>
            </w:rPr>
            <w:instrText xml:space="preserve"> PAGEREF _Toc215675814 \h </w:instrText>
          </w:r>
          <w:r>
            <w:rPr>
              <w:rFonts w:ascii="Times New Roman" w:hAnsi="Times New Roman" w:eastAsia="方正仿宋_GB2312" w:cs="Times New Roman"/>
              <w:sz w:val="28"/>
              <w:szCs w:val="28"/>
            </w:rPr>
            <w:fldChar w:fldCharType="separate"/>
          </w:r>
          <w:r>
            <w:rPr>
              <w:rFonts w:ascii="Times New Roman" w:hAnsi="Times New Roman" w:eastAsia="方正仿宋_GB2312" w:cs="Times New Roman"/>
              <w:sz w:val="28"/>
              <w:szCs w:val="28"/>
            </w:rPr>
            <w:t>22</w:t>
          </w:r>
          <w:r>
            <w:rPr>
              <w:rFonts w:ascii="Times New Roman" w:hAnsi="Times New Roman" w:eastAsia="方正仿宋_GB2312" w:cs="Times New Roman"/>
              <w:sz w:val="28"/>
              <w:szCs w:val="28"/>
            </w:rPr>
            <w:fldChar w:fldCharType="end"/>
          </w:r>
          <w:r>
            <w:rPr>
              <w:rFonts w:ascii="Times New Roman" w:hAnsi="Times New Roman" w:eastAsia="方正仿宋_GB2312" w:cs="Times New Roman"/>
              <w:sz w:val="28"/>
              <w:szCs w:val="28"/>
            </w:rPr>
            <w:fldChar w:fldCharType="end"/>
          </w:r>
        </w:p>
        <w:p w14:paraId="5F6178C9">
          <w:pPr>
            <w:pStyle w:val="13"/>
            <w:spacing w:line="700" w:lineRule="exact"/>
            <w:rPr>
              <w:rFonts w:ascii="Times New Roman" w:hAnsi="Times New Roman" w:eastAsia="方正仿宋_GB2312" w:cs="Times New Roman"/>
              <w:sz w:val="28"/>
              <w:szCs w:val="28"/>
            </w:rPr>
          </w:pPr>
          <w:r>
            <w:fldChar w:fldCharType="begin"/>
          </w:r>
          <w:r>
            <w:instrText xml:space="preserve"> HYPERLINK \l "_Toc215675815" </w:instrText>
          </w:r>
          <w:r>
            <w:fldChar w:fldCharType="separate"/>
          </w:r>
          <w:r>
            <w:rPr>
              <w:rFonts w:ascii="Times New Roman" w:hAnsi="Times New Roman" w:eastAsia="方正仿宋_GB2312" w:cs="Times New Roman"/>
              <w:sz w:val="28"/>
              <w:szCs w:val="28"/>
            </w:rPr>
            <w:t>11  智能化</w:t>
          </w:r>
          <w:r>
            <w:rPr>
              <w:rFonts w:ascii="Times New Roman" w:hAnsi="Times New Roman" w:eastAsia="方正仿宋_GB2312" w:cs="Times New Roman"/>
              <w:sz w:val="28"/>
              <w:szCs w:val="28"/>
            </w:rPr>
            <w:tab/>
          </w:r>
          <w:r>
            <w:rPr>
              <w:rFonts w:ascii="Times New Roman" w:hAnsi="Times New Roman" w:eastAsia="方正仿宋_GB2312" w:cs="Times New Roman"/>
              <w:sz w:val="28"/>
              <w:szCs w:val="28"/>
            </w:rPr>
            <w:fldChar w:fldCharType="begin"/>
          </w:r>
          <w:r>
            <w:rPr>
              <w:rFonts w:ascii="Times New Roman" w:hAnsi="Times New Roman" w:eastAsia="方正仿宋_GB2312" w:cs="Times New Roman"/>
              <w:sz w:val="28"/>
              <w:szCs w:val="28"/>
            </w:rPr>
            <w:instrText xml:space="preserve"> PAGEREF _Toc215675815 \h </w:instrText>
          </w:r>
          <w:r>
            <w:rPr>
              <w:rFonts w:ascii="Times New Roman" w:hAnsi="Times New Roman" w:eastAsia="方正仿宋_GB2312" w:cs="Times New Roman"/>
              <w:sz w:val="28"/>
              <w:szCs w:val="28"/>
            </w:rPr>
            <w:fldChar w:fldCharType="separate"/>
          </w:r>
          <w:r>
            <w:rPr>
              <w:rFonts w:ascii="Times New Roman" w:hAnsi="Times New Roman" w:eastAsia="方正仿宋_GB2312" w:cs="Times New Roman"/>
              <w:sz w:val="28"/>
              <w:szCs w:val="28"/>
            </w:rPr>
            <w:t>24</w:t>
          </w:r>
          <w:r>
            <w:rPr>
              <w:rFonts w:ascii="Times New Roman" w:hAnsi="Times New Roman" w:eastAsia="方正仿宋_GB2312" w:cs="Times New Roman"/>
              <w:sz w:val="28"/>
              <w:szCs w:val="28"/>
            </w:rPr>
            <w:fldChar w:fldCharType="end"/>
          </w:r>
          <w:r>
            <w:rPr>
              <w:rFonts w:ascii="Times New Roman" w:hAnsi="Times New Roman" w:eastAsia="方正仿宋_GB2312" w:cs="Times New Roman"/>
              <w:sz w:val="28"/>
              <w:szCs w:val="28"/>
            </w:rPr>
            <w:fldChar w:fldCharType="end"/>
          </w:r>
        </w:p>
        <w:p w14:paraId="3963AB16">
          <w:pPr>
            <w:pStyle w:val="13"/>
            <w:spacing w:line="700" w:lineRule="exact"/>
            <w:rPr>
              <w:rFonts w:ascii="Times New Roman" w:hAnsi="Times New Roman" w:eastAsia="方正仿宋_GB2312" w:cs="Times New Roman"/>
              <w:sz w:val="28"/>
              <w:szCs w:val="28"/>
            </w:rPr>
          </w:pPr>
          <w:r>
            <w:fldChar w:fldCharType="begin"/>
          </w:r>
          <w:r>
            <w:instrText xml:space="preserve"> HYPERLINK \l "_Toc215675816" </w:instrText>
          </w:r>
          <w:r>
            <w:fldChar w:fldCharType="separate"/>
          </w:r>
          <w:r>
            <w:rPr>
              <w:rFonts w:ascii="Times New Roman" w:hAnsi="Times New Roman" w:eastAsia="方正仿宋_GB2312" w:cs="Times New Roman"/>
              <w:sz w:val="28"/>
              <w:szCs w:val="28"/>
            </w:rPr>
            <w:t xml:space="preserve">12  </w:t>
          </w:r>
          <w:r>
            <w:rPr>
              <w:rFonts w:hint="eastAsia" w:ascii="Times New Roman" w:hAnsi="Times New Roman" w:eastAsia="方正仿宋_GB2312" w:cs="Times New Roman"/>
              <w:sz w:val="28"/>
              <w:szCs w:val="28"/>
            </w:rPr>
            <w:t>平急</w:t>
          </w:r>
          <w:r>
            <w:rPr>
              <w:rFonts w:ascii="Times New Roman" w:hAnsi="Times New Roman" w:eastAsia="方正仿宋_GB2312" w:cs="Times New Roman"/>
              <w:sz w:val="28"/>
              <w:szCs w:val="28"/>
            </w:rPr>
            <w:t>转换</w:t>
          </w:r>
          <w:r>
            <w:rPr>
              <w:rFonts w:ascii="Times New Roman" w:hAnsi="Times New Roman" w:eastAsia="方正仿宋_GB2312" w:cs="Times New Roman"/>
              <w:sz w:val="28"/>
              <w:szCs w:val="28"/>
            </w:rPr>
            <w:tab/>
          </w:r>
          <w:r>
            <w:rPr>
              <w:rFonts w:ascii="Times New Roman" w:hAnsi="Times New Roman" w:eastAsia="方正仿宋_GB2312" w:cs="Times New Roman"/>
              <w:sz w:val="28"/>
              <w:szCs w:val="28"/>
            </w:rPr>
            <w:fldChar w:fldCharType="begin"/>
          </w:r>
          <w:r>
            <w:rPr>
              <w:rFonts w:ascii="Times New Roman" w:hAnsi="Times New Roman" w:eastAsia="方正仿宋_GB2312" w:cs="Times New Roman"/>
              <w:sz w:val="28"/>
              <w:szCs w:val="28"/>
            </w:rPr>
            <w:instrText xml:space="preserve"> PAGEREF _Toc215675816 \h </w:instrText>
          </w:r>
          <w:r>
            <w:rPr>
              <w:rFonts w:ascii="Times New Roman" w:hAnsi="Times New Roman" w:eastAsia="方正仿宋_GB2312" w:cs="Times New Roman"/>
              <w:sz w:val="28"/>
              <w:szCs w:val="28"/>
            </w:rPr>
            <w:fldChar w:fldCharType="separate"/>
          </w:r>
          <w:r>
            <w:rPr>
              <w:rFonts w:ascii="Times New Roman" w:hAnsi="Times New Roman" w:eastAsia="方正仿宋_GB2312" w:cs="Times New Roman"/>
              <w:sz w:val="28"/>
              <w:szCs w:val="28"/>
            </w:rPr>
            <w:t>26</w:t>
          </w:r>
          <w:r>
            <w:rPr>
              <w:rFonts w:ascii="Times New Roman" w:hAnsi="Times New Roman" w:eastAsia="方正仿宋_GB2312" w:cs="Times New Roman"/>
              <w:sz w:val="28"/>
              <w:szCs w:val="28"/>
            </w:rPr>
            <w:fldChar w:fldCharType="end"/>
          </w:r>
          <w:r>
            <w:rPr>
              <w:rFonts w:ascii="Times New Roman" w:hAnsi="Times New Roman" w:eastAsia="方正仿宋_GB2312" w:cs="Times New Roman"/>
              <w:sz w:val="28"/>
              <w:szCs w:val="28"/>
            </w:rPr>
            <w:fldChar w:fldCharType="end"/>
          </w:r>
        </w:p>
        <w:p w14:paraId="3FA72C54">
          <w:pPr>
            <w:pStyle w:val="13"/>
            <w:spacing w:line="700" w:lineRule="exact"/>
            <w:rPr>
              <w:rFonts w:ascii="Times New Roman" w:hAnsi="Times New Roman" w:eastAsia="方正仿宋_GB2312" w:cs="Times New Roman"/>
              <w:sz w:val="28"/>
              <w:szCs w:val="28"/>
            </w:rPr>
          </w:pPr>
          <w:r>
            <w:fldChar w:fldCharType="begin"/>
          </w:r>
          <w:r>
            <w:instrText xml:space="preserve"> HYPERLINK \l "_Toc215675817" </w:instrText>
          </w:r>
          <w:r>
            <w:fldChar w:fldCharType="separate"/>
          </w:r>
          <w:r>
            <w:rPr>
              <w:rFonts w:ascii="Times New Roman" w:hAnsi="Times New Roman" w:eastAsia="方正仿宋_GB2312" w:cs="Times New Roman"/>
              <w:sz w:val="28"/>
              <w:szCs w:val="28"/>
            </w:rPr>
            <w:t>13  运营维护</w:t>
          </w:r>
          <w:r>
            <w:rPr>
              <w:rFonts w:ascii="Times New Roman" w:hAnsi="Times New Roman" w:eastAsia="方正仿宋_GB2312" w:cs="Times New Roman"/>
              <w:sz w:val="28"/>
              <w:szCs w:val="28"/>
            </w:rPr>
            <w:tab/>
          </w:r>
          <w:r>
            <w:rPr>
              <w:rFonts w:ascii="Times New Roman" w:hAnsi="Times New Roman" w:eastAsia="方正仿宋_GB2312" w:cs="Times New Roman"/>
              <w:sz w:val="28"/>
              <w:szCs w:val="28"/>
            </w:rPr>
            <w:fldChar w:fldCharType="begin"/>
          </w:r>
          <w:r>
            <w:rPr>
              <w:rFonts w:ascii="Times New Roman" w:hAnsi="Times New Roman" w:eastAsia="方正仿宋_GB2312" w:cs="Times New Roman"/>
              <w:sz w:val="28"/>
              <w:szCs w:val="28"/>
            </w:rPr>
            <w:instrText xml:space="preserve"> PAGEREF _Toc215675817 \h </w:instrText>
          </w:r>
          <w:r>
            <w:rPr>
              <w:rFonts w:ascii="Times New Roman" w:hAnsi="Times New Roman" w:eastAsia="方正仿宋_GB2312" w:cs="Times New Roman"/>
              <w:sz w:val="28"/>
              <w:szCs w:val="28"/>
            </w:rPr>
            <w:fldChar w:fldCharType="separate"/>
          </w:r>
          <w:r>
            <w:rPr>
              <w:rFonts w:ascii="Times New Roman" w:hAnsi="Times New Roman" w:eastAsia="方正仿宋_GB2312" w:cs="Times New Roman"/>
              <w:sz w:val="28"/>
              <w:szCs w:val="28"/>
            </w:rPr>
            <w:t>29</w:t>
          </w:r>
          <w:r>
            <w:rPr>
              <w:rFonts w:ascii="Times New Roman" w:hAnsi="Times New Roman" w:eastAsia="方正仿宋_GB2312" w:cs="Times New Roman"/>
              <w:sz w:val="28"/>
              <w:szCs w:val="28"/>
            </w:rPr>
            <w:fldChar w:fldCharType="end"/>
          </w:r>
          <w:r>
            <w:rPr>
              <w:rFonts w:ascii="Times New Roman" w:hAnsi="Times New Roman" w:eastAsia="方正仿宋_GB2312" w:cs="Times New Roman"/>
              <w:sz w:val="28"/>
              <w:szCs w:val="28"/>
            </w:rPr>
            <w:fldChar w:fldCharType="end"/>
          </w:r>
        </w:p>
        <w:p w14:paraId="735E36FF">
          <w:r>
            <w:rPr>
              <w:rFonts w:ascii="Times New Roman" w:hAnsi="Times New Roman" w:eastAsia="方正仿宋_GB2312" w:cs="Times New Roman"/>
              <w:b/>
              <w:bCs/>
              <w:sz w:val="28"/>
              <w:szCs w:val="28"/>
              <w:lang w:val="zh-CN"/>
            </w:rPr>
            <w:fldChar w:fldCharType="end"/>
          </w:r>
        </w:p>
      </w:sdtContent>
    </w:sdt>
    <w:p w14:paraId="515019B3">
      <w:pPr>
        <w:sectPr>
          <w:footerReference r:id="rId3" w:type="default"/>
          <w:pgSz w:w="11906" w:h="16838"/>
          <w:pgMar w:top="1440" w:right="1800" w:bottom="1440" w:left="1800" w:header="851" w:footer="992" w:gutter="0"/>
          <w:cols w:space="425" w:num="1"/>
          <w:docGrid w:type="lines" w:linePitch="312" w:charSpace="0"/>
        </w:sectPr>
      </w:pPr>
    </w:p>
    <w:p w14:paraId="47CE1BF0">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cs="Times New Roman"/>
          <w:b w:val="0"/>
          <w:snapToGrid w:val="0"/>
          <w:kern w:val="0"/>
          <w:sz w:val="40"/>
          <w:szCs w:val="40"/>
          <w:lang w:eastAsia="en-US"/>
        </w:rPr>
      </w:pPr>
      <w:bookmarkStart w:id="12" w:name="_Toc215675801"/>
      <w:r>
        <w:rPr>
          <w:rFonts w:hint="eastAsia" w:ascii="Times New Roman" w:hAnsi="Times New Roman" w:eastAsia="黑体" w:cs="Times New Roman"/>
          <w:b w:val="0"/>
          <w:snapToGrid w:val="0"/>
          <w:kern w:val="0"/>
          <w:sz w:val="40"/>
          <w:szCs w:val="40"/>
          <w:lang w:eastAsia="en-US"/>
        </w:rPr>
        <w:t xml:space="preserve">1 </w:t>
      </w:r>
      <w:r>
        <w:rPr>
          <w:rFonts w:ascii="Times New Roman" w:hAnsi="Times New Roman" w:eastAsia="黑体" w:cs="Times New Roman"/>
          <w:b w:val="0"/>
          <w:snapToGrid w:val="0"/>
          <w:kern w:val="0"/>
          <w:sz w:val="40"/>
          <w:szCs w:val="40"/>
          <w:lang w:eastAsia="en-US"/>
        </w:rPr>
        <w:t xml:space="preserve"> </w:t>
      </w:r>
      <w:r>
        <w:rPr>
          <w:rFonts w:hint="eastAsia" w:ascii="Times New Roman" w:hAnsi="Times New Roman" w:eastAsia="黑体" w:cs="Times New Roman"/>
          <w:b w:val="0"/>
          <w:snapToGrid w:val="0"/>
          <w:kern w:val="0"/>
          <w:sz w:val="40"/>
          <w:szCs w:val="40"/>
          <w:lang w:eastAsia="en-US"/>
        </w:rPr>
        <w:t>总</w:t>
      </w:r>
      <w:r>
        <w:rPr>
          <w:rFonts w:hint="eastAsia" w:ascii="Times New Roman" w:hAnsi="Times New Roman" w:eastAsia="黑体" w:cs="Times New Roman"/>
          <w:b w:val="0"/>
          <w:snapToGrid w:val="0"/>
          <w:kern w:val="0"/>
          <w:sz w:val="40"/>
          <w:szCs w:val="40"/>
        </w:rPr>
        <w:t>则</w:t>
      </w:r>
      <w:bookmarkEnd w:id="12"/>
    </w:p>
    <w:p w14:paraId="2E8B471C">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cs="Times New Roman"/>
          <w:b w:val="0"/>
          <w:snapToGrid w:val="0"/>
          <w:kern w:val="0"/>
          <w:sz w:val="40"/>
          <w:szCs w:val="40"/>
          <w:lang w:eastAsia="en-US"/>
        </w:rPr>
      </w:pPr>
    </w:p>
    <w:p w14:paraId="3033DBE2">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bookmarkStart w:id="13" w:name="OLE_LINK5"/>
      <w:bookmarkStart w:id="14" w:name="OLE_LINK6"/>
      <w:r>
        <w:rPr>
          <w:rFonts w:hint="eastAsia" w:ascii="Times New Roman" w:hAnsi="Times New Roman" w:eastAsia="方正仿宋_GB2312" w:cs="Times New Roman"/>
          <w:b w:val="0"/>
          <w:bCs w:val="0"/>
          <w:color w:val="auto"/>
        </w:rPr>
        <w:t xml:space="preserve">1.0.1 </w:t>
      </w:r>
      <w:bookmarkEnd w:id="13"/>
      <w:bookmarkEnd w:id="14"/>
      <w:r>
        <w:rPr>
          <w:rFonts w:hint="eastAsia" w:ascii="Times New Roman" w:hAnsi="Times New Roman" w:eastAsia="方正仿宋_GB2312" w:cs="Times New Roman"/>
          <w:b w:val="0"/>
          <w:bCs w:val="0"/>
          <w:color w:val="auto"/>
        </w:rPr>
        <w:t>为降低新发重大疫情和突发事件对宝鸡市的潜在影响，整体提升宝鸡市高质量发展的安全韧性，指导“平急两用”城郊大型仓储基地的全生命周期建设，制定本导则。</w:t>
      </w:r>
    </w:p>
    <w:p w14:paraId="5087375B">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 xml:space="preserve">1.0.2 </w:t>
      </w:r>
      <w:bookmarkStart w:id="15" w:name="OLE_LINK2"/>
      <w:bookmarkStart w:id="16" w:name="OLE_LINK1"/>
      <w:r>
        <w:rPr>
          <w:rFonts w:hint="eastAsia" w:ascii="Times New Roman" w:hAnsi="Times New Roman" w:eastAsia="方正仿宋_GB2312" w:cs="Times New Roman"/>
          <w:b w:val="0"/>
          <w:bCs w:val="0"/>
          <w:color w:val="auto"/>
        </w:rPr>
        <w:t>本导则</w:t>
      </w:r>
      <w:bookmarkEnd w:id="15"/>
      <w:bookmarkEnd w:id="16"/>
      <w:r>
        <w:rPr>
          <w:rFonts w:hint="eastAsia" w:ascii="Times New Roman" w:hAnsi="Times New Roman" w:eastAsia="方正仿宋_GB2312" w:cs="Times New Roman"/>
          <w:b w:val="0"/>
          <w:bCs w:val="0"/>
          <w:color w:val="auto"/>
        </w:rPr>
        <w:t>主要适用于宝鸡市新建“平急两用”</w:t>
      </w:r>
      <w:bookmarkStart w:id="17" w:name="OLE_LINK15"/>
      <w:bookmarkStart w:id="18" w:name="OLE_LINK16"/>
      <w:r>
        <w:rPr>
          <w:rFonts w:hint="eastAsia" w:ascii="Times New Roman" w:hAnsi="Times New Roman" w:eastAsia="方正仿宋_GB2312" w:cs="Times New Roman"/>
          <w:b w:val="0"/>
          <w:bCs w:val="0"/>
          <w:color w:val="auto"/>
        </w:rPr>
        <w:t>城郊大型仓储基地</w:t>
      </w:r>
      <w:bookmarkEnd w:id="17"/>
      <w:bookmarkEnd w:id="18"/>
      <w:r>
        <w:rPr>
          <w:rFonts w:hint="eastAsia" w:ascii="Times New Roman" w:hAnsi="Times New Roman" w:eastAsia="方正仿宋_GB2312" w:cs="Times New Roman"/>
          <w:b w:val="0"/>
          <w:bCs w:val="0"/>
          <w:color w:val="auto"/>
        </w:rPr>
        <w:t>的设计、建设、管理、转换与运维。既有建筑经评估可改造利用为“平急两用”城郊大型仓储基地的，参照本导则执行。</w:t>
      </w:r>
    </w:p>
    <w:p w14:paraId="6E63781F">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1.0.3 “平急两用”城郊大型仓储基地“平时”应满足城市生活物资中转分拨需求，“急时”可快速改造为应急物资和生活物资中转调运站、接驳点或分拨场地。</w:t>
      </w:r>
    </w:p>
    <w:p w14:paraId="790423D6">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bookmarkStart w:id="19" w:name="OLE_LINK9"/>
      <w:bookmarkStart w:id="20" w:name="OLE_LINK10"/>
      <w:r>
        <w:rPr>
          <w:rFonts w:hint="eastAsia" w:ascii="Times New Roman" w:hAnsi="Times New Roman" w:eastAsia="方正仿宋_GB2312" w:cs="Times New Roman"/>
          <w:b w:val="0"/>
          <w:bCs w:val="0"/>
          <w:color w:val="auto"/>
        </w:rPr>
        <w:t>1.0.4 新建建筑应按现行国家规范标准执行，既有建筑改建、扩建时，宜按现行国家标准执行，确有困难时不得低于原建成时的技术标准。</w:t>
      </w:r>
    </w:p>
    <w:p w14:paraId="584413A5">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 xml:space="preserve">1.0.5 </w:t>
      </w:r>
      <w:bookmarkEnd w:id="19"/>
      <w:bookmarkEnd w:id="20"/>
      <w:r>
        <w:rPr>
          <w:rFonts w:hint="eastAsia" w:ascii="Times New Roman" w:hAnsi="Times New Roman" w:eastAsia="方正仿宋_GB2312" w:cs="Times New Roman"/>
          <w:b w:val="0"/>
          <w:bCs w:val="0"/>
          <w:color w:val="auto"/>
        </w:rPr>
        <w:t>“平急两用”城郊大型仓储基地的建设除应符合本导则外，还应符合国家、省、市现行相关的法律法规和规范、标准。</w:t>
      </w:r>
    </w:p>
    <w:p w14:paraId="1DFAD803">
      <w:pPr>
        <w:rPr>
          <w:rFonts w:ascii="宋体" w:hAnsi="宋体" w:eastAsia="宋体"/>
          <w:sz w:val="28"/>
          <w:szCs w:val="28"/>
        </w:rPr>
      </w:pPr>
      <w:r>
        <w:rPr>
          <w:rFonts w:ascii="宋体" w:hAnsi="宋体" w:eastAsia="宋体"/>
          <w:sz w:val="28"/>
          <w:szCs w:val="28"/>
        </w:rPr>
        <w:br w:type="page"/>
      </w:r>
    </w:p>
    <w:p w14:paraId="743EA234">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cs="Times New Roman"/>
          <w:b w:val="0"/>
          <w:snapToGrid w:val="0"/>
          <w:kern w:val="0"/>
          <w:sz w:val="40"/>
          <w:szCs w:val="40"/>
          <w:lang w:eastAsia="en-US"/>
        </w:rPr>
      </w:pPr>
      <w:bookmarkStart w:id="21" w:name="_Toc215675802"/>
      <w:r>
        <w:rPr>
          <w:rFonts w:hint="eastAsia" w:ascii="Times New Roman" w:hAnsi="Times New Roman" w:eastAsia="黑体" w:cs="Times New Roman"/>
          <w:b w:val="0"/>
          <w:snapToGrid w:val="0"/>
          <w:kern w:val="0"/>
          <w:sz w:val="40"/>
          <w:szCs w:val="40"/>
          <w:lang w:eastAsia="en-US"/>
        </w:rPr>
        <w:t>2 术</w:t>
      </w:r>
      <w:r>
        <w:rPr>
          <w:rFonts w:hint="eastAsia" w:ascii="Times New Roman" w:hAnsi="Times New Roman" w:eastAsia="黑体" w:cs="Times New Roman"/>
          <w:b w:val="0"/>
          <w:snapToGrid w:val="0"/>
          <w:kern w:val="0"/>
          <w:sz w:val="40"/>
          <w:szCs w:val="40"/>
        </w:rPr>
        <w:t>语</w:t>
      </w:r>
      <w:bookmarkEnd w:id="21"/>
    </w:p>
    <w:p w14:paraId="46B28B57">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cs="Times New Roman"/>
          <w:b w:val="0"/>
          <w:snapToGrid w:val="0"/>
          <w:kern w:val="0"/>
          <w:sz w:val="40"/>
          <w:szCs w:val="40"/>
          <w:lang w:eastAsia="en-US"/>
        </w:rPr>
      </w:pPr>
    </w:p>
    <w:p w14:paraId="58D17394">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color w:val="auto"/>
        </w:rPr>
      </w:pPr>
      <w:r>
        <w:rPr>
          <w:rFonts w:hint="eastAsia" w:ascii="Times New Roman" w:hAnsi="Times New Roman" w:eastAsia="方正仿宋_GB2312" w:cs="Times New Roman"/>
          <w:color w:val="auto"/>
        </w:rPr>
        <w:t>2.0.1 外区</w:t>
      </w:r>
    </w:p>
    <w:p w14:paraId="4027D874">
      <w:pPr>
        <w:pStyle w:val="5"/>
        <w:keepNext w:val="0"/>
        <w:keepLines w:val="0"/>
        <w:kinsoku/>
        <w:topLinePunct/>
        <w:autoSpaceDE/>
        <w:autoSpaceDN/>
        <w:snapToGrid/>
        <w:spacing w:before="0" w:after="0" w:line="600" w:lineRule="exact"/>
        <w:ind w:firstLine="560" w:firstLineChars="200"/>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在“平急两用”城郊大型仓储基地（以下简称“城郊大仓基地”）中外来人员休息和临时隔离的区域，包括车辆消杀、垃圾收集、污水处理、外地司机休息及配套用房、外来人员和货物临时隔离等区域。</w:t>
      </w:r>
    </w:p>
    <w:p w14:paraId="586F5D61">
      <w:pPr>
        <w:widowControl/>
        <w:suppressLineNumbers/>
        <w:wordWrap w:val="0"/>
        <w:topLinePunct/>
        <w:spacing w:before="280" w:after="280" w:line="360" w:lineRule="auto"/>
        <w:contextualSpacing/>
        <w:rPr>
          <w:rFonts w:ascii="宋体" w:hAnsi="宋体" w:eastAsia="宋体"/>
          <w:bCs/>
          <w:sz w:val="28"/>
          <w:szCs w:val="28"/>
        </w:rPr>
      </w:pPr>
      <w:r>
        <w:rPr>
          <w:rFonts w:hint="eastAsia" w:ascii="Times New Roman" w:hAnsi="Times New Roman" w:eastAsia="方正仿宋_GB2312" w:cs="Times New Roman"/>
          <w:b/>
          <w:bCs/>
          <w:snapToGrid w:val="0"/>
          <w:kern w:val="0"/>
          <w:sz w:val="28"/>
          <w:szCs w:val="28"/>
          <w:lang w:eastAsia="en-US"/>
        </w:rPr>
        <w:t>2.0.2 内区</w:t>
      </w:r>
    </w:p>
    <w:p w14:paraId="529E05BE">
      <w:pPr>
        <w:widowControl/>
        <w:suppressLineNumbers/>
        <w:wordWrap w:val="0"/>
        <w:topLinePunct/>
        <w:spacing w:before="280" w:after="280" w:line="360" w:lineRule="auto"/>
        <w:ind w:firstLine="560" w:firstLineChars="200"/>
        <w:contextualSpacing/>
        <w:rPr>
          <w:rFonts w:ascii="Times New Roman" w:hAnsi="Times New Roman" w:eastAsia="方正仿宋_GB2312" w:cs="Times New Roman"/>
          <w:snapToGrid w:val="0"/>
          <w:kern w:val="0"/>
          <w:sz w:val="28"/>
          <w:szCs w:val="28"/>
          <w:lang w:eastAsia="en-US"/>
        </w:rPr>
      </w:pPr>
      <w:r>
        <w:rPr>
          <w:rFonts w:hint="eastAsia" w:ascii="Times New Roman" w:hAnsi="Times New Roman" w:eastAsia="方正仿宋_GB2312" w:cs="Times New Roman"/>
          <w:snapToGrid w:val="0"/>
          <w:kern w:val="0"/>
          <w:sz w:val="28"/>
          <w:szCs w:val="28"/>
          <w:lang w:eastAsia="en-US"/>
        </w:rPr>
        <w:t>在城郊大仓基地中本地人员工作和休息的区域，包括货车停放、物资装卸、存储、分拣配送的物流作业、办公管理、后勤服务、本地司机 休息及配套用房等区域。</w:t>
      </w:r>
    </w:p>
    <w:p w14:paraId="1231E5E2">
      <w:pPr>
        <w:widowControl/>
        <w:suppressLineNumbers/>
        <w:wordWrap w:val="0"/>
        <w:topLinePunct/>
        <w:spacing w:before="280" w:after="280" w:line="360" w:lineRule="auto"/>
        <w:contextualSpacing/>
        <w:rPr>
          <w:rFonts w:ascii="Times New Roman" w:hAnsi="Times New Roman" w:eastAsia="方正仿宋_GB2312" w:cs="Times New Roman"/>
          <w:b/>
          <w:bCs/>
          <w:snapToGrid w:val="0"/>
          <w:kern w:val="0"/>
          <w:sz w:val="28"/>
          <w:szCs w:val="28"/>
          <w:lang w:eastAsia="en-US"/>
        </w:rPr>
      </w:pPr>
      <w:r>
        <w:rPr>
          <w:rFonts w:hint="eastAsia" w:ascii="Times New Roman" w:hAnsi="Times New Roman" w:eastAsia="方正仿宋_GB2312" w:cs="Times New Roman"/>
          <w:b/>
          <w:bCs/>
          <w:snapToGrid w:val="0"/>
          <w:kern w:val="0"/>
          <w:sz w:val="28"/>
          <w:szCs w:val="28"/>
          <w:lang w:eastAsia="en-US"/>
        </w:rPr>
        <w:t>2.0.3 缓冲区</w:t>
      </w:r>
    </w:p>
    <w:p w14:paraId="134F1E52">
      <w:pPr>
        <w:widowControl/>
        <w:suppressLineNumbers/>
        <w:wordWrap w:val="0"/>
        <w:topLinePunct/>
        <w:spacing w:before="280" w:after="280" w:line="360" w:lineRule="auto"/>
        <w:ind w:firstLine="560" w:firstLineChars="200"/>
        <w:contextualSpacing/>
        <w:rPr>
          <w:rFonts w:ascii="Times New Roman" w:hAnsi="Times New Roman" w:eastAsia="方正仿宋_GB2312" w:cs="Times New Roman"/>
          <w:snapToGrid w:val="0"/>
          <w:kern w:val="0"/>
          <w:sz w:val="28"/>
          <w:szCs w:val="28"/>
          <w:lang w:eastAsia="en-US"/>
        </w:rPr>
      </w:pPr>
      <w:r>
        <w:rPr>
          <w:rFonts w:hint="eastAsia" w:ascii="Times New Roman" w:hAnsi="Times New Roman" w:eastAsia="方正仿宋_GB2312" w:cs="Times New Roman"/>
          <w:snapToGrid w:val="0"/>
          <w:kern w:val="0"/>
          <w:sz w:val="28"/>
          <w:szCs w:val="28"/>
          <w:lang w:eastAsia="en-US"/>
        </w:rPr>
        <w:t>在城郊大仓基地中设于内区与外区之间的场所，包括货车甩挂、司机交换场地、检验检疫和卫生通过等区域。</w:t>
      </w:r>
    </w:p>
    <w:p w14:paraId="61F65539">
      <w:pPr>
        <w:widowControl/>
        <w:suppressLineNumbers/>
        <w:wordWrap w:val="0"/>
        <w:topLinePunct/>
        <w:spacing w:before="280" w:after="280" w:line="360" w:lineRule="auto"/>
        <w:contextualSpacing/>
        <w:rPr>
          <w:rFonts w:ascii="Times New Roman" w:hAnsi="Times New Roman" w:eastAsia="方正仿宋_GB2312" w:cs="Times New Roman"/>
          <w:b/>
          <w:bCs/>
          <w:snapToGrid w:val="0"/>
          <w:kern w:val="0"/>
          <w:sz w:val="28"/>
          <w:szCs w:val="28"/>
          <w:lang w:eastAsia="en-US"/>
        </w:rPr>
      </w:pPr>
      <w:r>
        <w:rPr>
          <w:rFonts w:hint="eastAsia" w:ascii="Times New Roman" w:hAnsi="Times New Roman" w:eastAsia="方正仿宋_GB2312" w:cs="Times New Roman"/>
          <w:b/>
          <w:bCs/>
          <w:snapToGrid w:val="0"/>
          <w:kern w:val="0"/>
          <w:sz w:val="28"/>
          <w:szCs w:val="28"/>
          <w:lang w:eastAsia="en-US"/>
        </w:rPr>
        <w:t>2.0.4 三区三通道</w:t>
      </w:r>
    </w:p>
    <w:p w14:paraId="5D4AF087">
      <w:pPr>
        <w:widowControl/>
        <w:suppressLineNumbers/>
        <w:wordWrap w:val="0"/>
        <w:topLinePunct/>
        <w:spacing w:before="280" w:after="280" w:line="360" w:lineRule="auto"/>
        <w:ind w:firstLine="560" w:firstLineChars="200"/>
        <w:contextualSpacing/>
        <w:rPr>
          <w:rFonts w:ascii="Times New Roman" w:hAnsi="Times New Roman" w:eastAsia="方正仿宋_GB2312" w:cs="Times New Roman"/>
          <w:snapToGrid w:val="0"/>
          <w:kern w:val="0"/>
          <w:sz w:val="28"/>
          <w:szCs w:val="28"/>
          <w:lang w:eastAsia="en-US"/>
        </w:rPr>
      </w:pPr>
      <w:r>
        <w:rPr>
          <w:rFonts w:hint="eastAsia" w:ascii="Times New Roman" w:hAnsi="Times New Roman" w:eastAsia="方正仿宋_GB2312" w:cs="Times New Roman"/>
          <w:snapToGrid w:val="0"/>
          <w:kern w:val="0"/>
          <w:sz w:val="28"/>
          <w:szCs w:val="28"/>
          <w:lang w:eastAsia="en-US"/>
        </w:rPr>
        <w:t>指为满足“急时”城郊大仓基地应急物资接驳、调配和人员隔离需求的功能布局。三区指外区、内区、缓冲区；三通道指外来人员通道、本地人员通道、货物通道。</w:t>
      </w:r>
    </w:p>
    <w:p w14:paraId="56246144">
      <w:pPr>
        <w:widowControl/>
        <w:suppressLineNumbers/>
        <w:wordWrap w:val="0"/>
        <w:topLinePunct/>
        <w:spacing w:before="280" w:after="280" w:line="360" w:lineRule="auto"/>
        <w:contextualSpacing/>
        <w:rPr>
          <w:rFonts w:ascii="Times New Roman" w:hAnsi="Times New Roman" w:eastAsia="方正仿宋_GB2312" w:cs="Times New Roman"/>
          <w:b/>
          <w:bCs/>
          <w:snapToGrid w:val="0"/>
          <w:kern w:val="0"/>
          <w:sz w:val="28"/>
          <w:szCs w:val="28"/>
          <w:lang w:eastAsia="en-US"/>
        </w:rPr>
      </w:pPr>
      <w:r>
        <w:rPr>
          <w:rFonts w:hint="eastAsia" w:ascii="Times New Roman" w:hAnsi="Times New Roman" w:eastAsia="方正仿宋_GB2312" w:cs="Times New Roman"/>
          <w:b/>
          <w:bCs/>
          <w:snapToGrid w:val="0"/>
          <w:kern w:val="0"/>
          <w:sz w:val="28"/>
          <w:szCs w:val="28"/>
          <w:lang w:eastAsia="en-US"/>
        </w:rPr>
        <w:t xml:space="preserve">2.0.5 </w:t>
      </w:r>
      <w:r>
        <w:rPr>
          <w:rFonts w:ascii="Times New Roman" w:hAnsi="Times New Roman" w:eastAsia="方正仿宋_GB2312" w:cs="Times New Roman"/>
          <w:b/>
          <w:bCs/>
          <w:snapToGrid w:val="0"/>
          <w:kern w:val="0"/>
          <w:sz w:val="28"/>
          <w:szCs w:val="28"/>
          <w:lang w:eastAsia="en-US"/>
        </w:rPr>
        <w:t>响应分级</w:t>
      </w:r>
    </w:p>
    <w:p w14:paraId="3C0A6028">
      <w:pPr>
        <w:widowControl/>
        <w:suppressLineNumbers/>
        <w:wordWrap w:val="0"/>
        <w:topLinePunct/>
        <w:spacing w:before="280" w:after="280" w:line="360" w:lineRule="auto"/>
        <w:ind w:firstLine="560" w:firstLineChars="200"/>
        <w:contextualSpacing/>
        <w:rPr>
          <w:rFonts w:ascii="宋体" w:hAnsi="宋体" w:eastAsia="宋体"/>
          <w:bCs/>
          <w:sz w:val="28"/>
          <w:szCs w:val="28"/>
        </w:rPr>
      </w:pPr>
      <w:r>
        <w:rPr>
          <w:rFonts w:ascii="Times New Roman" w:hAnsi="Times New Roman" w:eastAsia="方正仿宋_GB2312" w:cs="Times New Roman"/>
          <w:snapToGrid w:val="0"/>
          <w:kern w:val="0"/>
          <w:sz w:val="28"/>
          <w:szCs w:val="28"/>
          <w:lang w:eastAsia="en-US"/>
        </w:rPr>
        <w:t>对市级层面突发事件进行响应，由高到低分为I级、</w:t>
      </w:r>
      <w:r>
        <w:rPr>
          <w:rFonts w:hint="eastAsia" w:ascii="Times New Roman" w:hAnsi="Times New Roman" w:eastAsia="方正仿宋_GB2312" w:cs="Times New Roman"/>
          <w:snapToGrid w:val="0"/>
          <w:kern w:val="0"/>
          <w:sz w:val="28"/>
          <w:szCs w:val="28"/>
          <w:lang w:eastAsia="en-US"/>
        </w:rPr>
        <w:t>Ⅱ</w:t>
      </w:r>
      <w:r>
        <w:rPr>
          <w:rFonts w:ascii="Times New Roman" w:hAnsi="Times New Roman" w:eastAsia="方正仿宋_GB2312" w:cs="Times New Roman"/>
          <w:snapToGrid w:val="0"/>
          <w:kern w:val="0"/>
          <w:sz w:val="28"/>
          <w:szCs w:val="28"/>
          <w:lang w:eastAsia="en-US"/>
        </w:rPr>
        <w:t>级、</w:t>
      </w:r>
      <w:r>
        <w:rPr>
          <w:rFonts w:hint="eastAsia" w:ascii="Times New Roman" w:hAnsi="Times New Roman" w:eastAsia="方正仿宋_GB2312" w:cs="Times New Roman"/>
          <w:snapToGrid w:val="0"/>
          <w:kern w:val="0"/>
          <w:sz w:val="28"/>
          <w:szCs w:val="28"/>
          <w:lang w:eastAsia="en-US"/>
        </w:rPr>
        <w:t>Ⅲ</w:t>
      </w:r>
      <w:r>
        <w:rPr>
          <w:rFonts w:ascii="Times New Roman" w:hAnsi="Times New Roman" w:eastAsia="方正仿宋_GB2312" w:cs="Times New Roman"/>
          <w:snapToGrid w:val="0"/>
          <w:kern w:val="0"/>
          <w:sz w:val="28"/>
          <w:szCs w:val="28"/>
          <w:lang w:eastAsia="en-US"/>
        </w:rPr>
        <w:t>级。其中I级为最高响应级别，由市政府组织应对</w:t>
      </w:r>
      <w:r>
        <w:rPr>
          <w:rFonts w:hint="eastAsia" w:ascii="Times New Roman" w:hAnsi="Times New Roman" w:eastAsia="方正仿宋_GB2312" w:cs="Times New Roman"/>
          <w:snapToGrid w:val="0"/>
          <w:kern w:val="0"/>
          <w:sz w:val="28"/>
          <w:szCs w:val="28"/>
          <w:lang w:eastAsia="en-US"/>
        </w:rPr>
        <w:t>；Ⅱ</w:t>
      </w:r>
      <w:r>
        <w:rPr>
          <w:rFonts w:ascii="Times New Roman" w:hAnsi="Times New Roman" w:eastAsia="方正仿宋_GB2312" w:cs="Times New Roman"/>
          <w:snapToGrid w:val="0"/>
          <w:kern w:val="0"/>
          <w:sz w:val="28"/>
          <w:szCs w:val="28"/>
          <w:lang w:eastAsia="en-US"/>
        </w:rPr>
        <w:t>级由市级专项指挥机构组织应对</w:t>
      </w:r>
      <w:r>
        <w:rPr>
          <w:rFonts w:hint="eastAsia" w:ascii="Times New Roman" w:hAnsi="Times New Roman" w:eastAsia="方正仿宋_GB2312" w:cs="Times New Roman"/>
          <w:snapToGrid w:val="0"/>
          <w:kern w:val="0"/>
          <w:sz w:val="28"/>
          <w:szCs w:val="28"/>
          <w:lang w:eastAsia="en-US"/>
        </w:rPr>
        <w:t>；Ⅲ</w:t>
      </w:r>
      <w:r>
        <w:rPr>
          <w:rFonts w:ascii="Times New Roman" w:hAnsi="Times New Roman" w:eastAsia="方正仿宋_GB2312" w:cs="Times New Roman"/>
          <w:snapToGrid w:val="0"/>
          <w:kern w:val="0"/>
          <w:sz w:val="28"/>
          <w:szCs w:val="28"/>
          <w:lang w:eastAsia="en-US"/>
        </w:rPr>
        <w:t>级由市级部门组织应对。</w:t>
      </w:r>
      <w:r>
        <w:rPr>
          <w:rFonts w:ascii="宋体" w:hAnsi="宋体" w:eastAsia="宋体"/>
          <w:sz w:val="28"/>
          <w:szCs w:val="28"/>
        </w:rPr>
        <w:br w:type="page"/>
      </w:r>
    </w:p>
    <w:p w14:paraId="537FCCB2">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cs="Times New Roman"/>
          <w:b w:val="0"/>
          <w:snapToGrid w:val="0"/>
          <w:kern w:val="0"/>
          <w:sz w:val="40"/>
          <w:szCs w:val="40"/>
          <w:lang w:eastAsia="en-US"/>
        </w:rPr>
      </w:pPr>
      <w:bookmarkStart w:id="22" w:name="_Toc215675803"/>
      <w:r>
        <w:rPr>
          <w:rFonts w:hint="eastAsia" w:ascii="Times New Roman" w:hAnsi="Times New Roman" w:eastAsia="黑体" w:cs="Times New Roman"/>
          <w:b w:val="0"/>
          <w:snapToGrid w:val="0"/>
          <w:kern w:val="0"/>
          <w:sz w:val="40"/>
          <w:szCs w:val="40"/>
          <w:lang w:eastAsia="en-US"/>
        </w:rPr>
        <w:t xml:space="preserve">3 </w:t>
      </w:r>
      <w:r>
        <w:rPr>
          <w:rFonts w:ascii="Times New Roman" w:hAnsi="Times New Roman" w:eastAsia="黑体" w:cs="Times New Roman"/>
          <w:b w:val="0"/>
          <w:snapToGrid w:val="0"/>
          <w:kern w:val="0"/>
          <w:sz w:val="40"/>
          <w:szCs w:val="40"/>
          <w:lang w:eastAsia="en-US"/>
        </w:rPr>
        <w:t xml:space="preserve"> </w:t>
      </w:r>
      <w:r>
        <w:rPr>
          <w:rFonts w:hint="eastAsia" w:ascii="Times New Roman" w:hAnsi="Times New Roman" w:eastAsia="黑体" w:cs="Times New Roman"/>
          <w:b w:val="0"/>
          <w:snapToGrid w:val="0"/>
          <w:kern w:val="0"/>
          <w:sz w:val="40"/>
          <w:szCs w:val="40"/>
          <w:lang w:eastAsia="en-US"/>
        </w:rPr>
        <w:t>基本要</w:t>
      </w:r>
      <w:r>
        <w:rPr>
          <w:rFonts w:hint="eastAsia" w:ascii="Times New Roman" w:hAnsi="Times New Roman" w:eastAsia="黑体" w:cs="Times New Roman"/>
          <w:b w:val="0"/>
          <w:snapToGrid w:val="0"/>
          <w:kern w:val="0"/>
          <w:sz w:val="40"/>
          <w:szCs w:val="40"/>
        </w:rPr>
        <w:t>求</w:t>
      </w:r>
      <w:bookmarkEnd w:id="22"/>
    </w:p>
    <w:p w14:paraId="73003FD1">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cs="Times New Roman"/>
          <w:b w:val="0"/>
          <w:snapToGrid w:val="0"/>
          <w:kern w:val="0"/>
          <w:sz w:val="40"/>
          <w:szCs w:val="40"/>
          <w:lang w:eastAsia="en-US"/>
        </w:rPr>
      </w:pPr>
    </w:p>
    <w:p w14:paraId="6B9D1D87">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3.0.1 城郊大仓基地建设应符合宝鸡市“平急两用”专项规划及仓储物流相关规划的要求，</w:t>
      </w:r>
      <w:r>
        <w:rPr>
          <w:rFonts w:ascii="Times New Roman" w:hAnsi="Times New Roman" w:eastAsia="方正仿宋_GB2312" w:cs="Times New Roman"/>
          <w:b w:val="0"/>
          <w:bCs w:val="0"/>
          <w:color w:val="auto"/>
        </w:rPr>
        <w:t>按照以城区常住人口规模为基数，满足3天生鲜农产品、7天粮油和其他生活物资供应的需求，综合确定城郊大仓总建设规模，并遵循以改造为主、新建为辅的原则。</w:t>
      </w:r>
    </w:p>
    <w:p w14:paraId="0582A47B">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3.0.2 优先对存量仓储资源按“平急两用”城郊大仓基地标准实施改造；统筹考虑市域内大型物流基础设施布局和物流配送体系建设，合理规划新增“平急两用”城郊大仓基地。</w:t>
      </w:r>
    </w:p>
    <w:p w14:paraId="7FECAD77">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3.0.</w:t>
      </w:r>
      <w:r>
        <w:rPr>
          <w:rFonts w:ascii="Times New Roman" w:hAnsi="Times New Roman" w:eastAsia="方正仿宋_GB2312" w:cs="Times New Roman"/>
          <w:b w:val="0"/>
          <w:bCs w:val="0"/>
          <w:color w:val="auto"/>
        </w:rPr>
        <w:t>3</w:t>
      </w:r>
      <w:r>
        <w:rPr>
          <w:rFonts w:hint="eastAsia" w:ascii="Times New Roman" w:hAnsi="Times New Roman" w:eastAsia="方正仿宋_GB2312" w:cs="Times New Roman"/>
          <w:b w:val="0"/>
          <w:bCs w:val="0"/>
          <w:color w:val="auto"/>
        </w:rPr>
        <w:t xml:space="preserve"> 城郊大仓基地“急时”应符合“三区三通道”要求。</w:t>
      </w:r>
    </w:p>
    <w:p w14:paraId="35C7A392">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3.0.</w:t>
      </w:r>
      <w:r>
        <w:rPr>
          <w:rFonts w:ascii="Times New Roman" w:hAnsi="Times New Roman" w:eastAsia="方正仿宋_GB2312" w:cs="Times New Roman"/>
          <w:b w:val="0"/>
          <w:bCs w:val="0"/>
          <w:color w:val="auto"/>
        </w:rPr>
        <w:t>4既有建筑进行应急转换改造前，应对场地和建筑物按照“急时”使用功能要求进行评估，并对建筑物的安全性进行检测，确保改造后符合“急时”使用要求。</w:t>
      </w:r>
    </w:p>
    <w:p w14:paraId="46DADCE6">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3.0.</w:t>
      </w:r>
      <w:r>
        <w:rPr>
          <w:rFonts w:ascii="Times New Roman" w:hAnsi="Times New Roman" w:eastAsia="方正仿宋_GB2312" w:cs="Times New Roman"/>
          <w:b w:val="0"/>
          <w:bCs w:val="0"/>
          <w:color w:val="auto"/>
        </w:rPr>
        <w:t>5</w:t>
      </w:r>
      <w:r>
        <w:rPr>
          <w:rFonts w:hint="eastAsia" w:ascii="Times New Roman" w:hAnsi="Times New Roman" w:eastAsia="方正仿宋_GB2312" w:cs="Times New Roman"/>
          <w:b w:val="0"/>
          <w:bCs w:val="0"/>
          <w:color w:val="auto"/>
        </w:rPr>
        <w:t xml:space="preserve"> 城郊大仓基地物流仓储场地规模较大时，宜设多个仓储单元，便于分级响应。</w:t>
      </w:r>
    </w:p>
    <w:p w14:paraId="55593A9F">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3.0.</w:t>
      </w:r>
      <w:r>
        <w:rPr>
          <w:rFonts w:ascii="Times New Roman" w:hAnsi="Times New Roman" w:eastAsia="方正仿宋_GB2312" w:cs="Times New Roman"/>
          <w:b w:val="0"/>
          <w:bCs w:val="0"/>
          <w:color w:val="auto"/>
        </w:rPr>
        <w:t>6 城郊大仓基地宜在内区设置货运直升机停机坪。</w:t>
      </w:r>
    </w:p>
    <w:p w14:paraId="5B2AC226">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3.0.</w:t>
      </w:r>
      <w:r>
        <w:rPr>
          <w:rFonts w:ascii="Times New Roman" w:hAnsi="Times New Roman" w:eastAsia="方正仿宋_GB2312" w:cs="Times New Roman"/>
          <w:b w:val="0"/>
          <w:bCs w:val="0"/>
          <w:color w:val="auto"/>
        </w:rPr>
        <w:t>7 城郊大仓基地建设宜按标准化、模块化、智能化原则建设。应急转换时应充分利用数字化、智能化技术，选用当地绿色建材产品，采用工业化装配式施工，满足应急防控的需要。</w:t>
      </w:r>
    </w:p>
    <w:p w14:paraId="12670439">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3.0.</w:t>
      </w:r>
      <w:r>
        <w:rPr>
          <w:rFonts w:ascii="Times New Roman" w:hAnsi="Times New Roman" w:eastAsia="方正仿宋_GB2312" w:cs="Times New Roman"/>
          <w:b w:val="0"/>
          <w:bCs w:val="0"/>
          <w:color w:val="auto"/>
        </w:rPr>
        <w:t>8 建筑材料应选用耐久、防水、环保性能较好的产品，建筑构造措施应科学合理，满足应急防控的使用要求。</w:t>
      </w:r>
    </w:p>
    <w:p w14:paraId="17C3F081">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3.0.</w:t>
      </w:r>
      <w:r>
        <w:rPr>
          <w:rFonts w:ascii="Times New Roman" w:hAnsi="Times New Roman" w:eastAsia="方正仿宋_GB2312" w:cs="Times New Roman"/>
          <w:b w:val="0"/>
          <w:bCs w:val="0"/>
          <w:color w:val="auto"/>
        </w:rPr>
        <w:t xml:space="preserve">9 </w:t>
      </w:r>
      <w:r>
        <w:rPr>
          <w:rFonts w:hint="eastAsia" w:ascii="Times New Roman" w:hAnsi="Times New Roman" w:eastAsia="方正仿宋_GB2312" w:cs="Times New Roman"/>
          <w:b w:val="0"/>
          <w:bCs w:val="0"/>
          <w:color w:val="auto"/>
        </w:rPr>
        <w:t>新建“平急两用”城郊大仓基地设施在“平时”与“急时”的使用过程中均应符合</w:t>
      </w:r>
      <w:bookmarkStart w:id="23" w:name="OLE_LINK14"/>
      <w:bookmarkStart w:id="24" w:name="OLE_LINK13"/>
      <w:r>
        <w:rPr>
          <w:rFonts w:hint="eastAsia" w:ascii="Times New Roman" w:hAnsi="Times New Roman" w:eastAsia="方正仿宋_GB2312" w:cs="Times New Roman"/>
          <w:b w:val="0"/>
          <w:bCs w:val="0"/>
          <w:color w:val="auto"/>
        </w:rPr>
        <w:t>《建筑设计防火规范》GB 50016、《消防设施通用规范》GB 55036、《建筑防火通用规范》GB 55037、《建筑内部装修设计防火规范》GB 50222、《建筑防火封堵应用技术标准》GB/T 51410《陕西省建筑设计防火、审查、验收疑难问题技术指南》等现行工程建设消防技术规范、标准。既有建筑改造利用为“平急两用”城</w:t>
      </w:r>
      <w:bookmarkStart w:id="25" w:name="OLE_LINK3"/>
      <w:bookmarkStart w:id="26" w:name="OLE_LINK4"/>
      <w:r>
        <w:rPr>
          <w:rFonts w:hint="eastAsia" w:ascii="Times New Roman" w:hAnsi="Times New Roman" w:eastAsia="方正仿宋_GB2312" w:cs="Times New Roman"/>
          <w:b w:val="0"/>
          <w:bCs w:val="0"/>
          <w:color w:val="auto"/>
        </w:rPr>
        <w:t>郊大型仓储基地设施，应符</w:t>
      </w:r>
      <w:bookmarkEnd w:id="25"/>
      <w:bookmarkEnd w:id="26"/>
      <w:r>
        <w:rPr>
          <w:rFonts w:hint="eastAsia" w:ascii="Times New Roman" w:hAnsi="Times New Roman" w:eastAsia="方正仿宋_GB2312" w:cs="Times New Roman"/>
          <w:b w:val="0"/>
          <w:bCs w:val="0"/>
          <w:color w:val="auto"/>
        </w:rPr>
        <w:t>合《既有建筑维护与改造通用规范》GB 55022等相关规范及政策规定。</w:t>
      </w:r>
      <w:bookmarkEnd w:id="23"/>
      <w:bookmarkEnd w:id="24"/>
    </w:p>
    <w:p w14:paraId="3D65039B">
      <w:pPr>
        <w:rPr>
          <w:rFonts w:ascii="宋体" w:hAnsi="宋体" w:eastAsia="宋体"/>
          <w:sz w:val="28"/>
          <w:szCs w:val="28"/>
        </w:rPr>
      </w:pPr>
      <w:r>
        <w:rPr>
          <w:rFonts w:ascii="宋体" w:hAnsi="宋体" w:eastAsia="宋体"/>
          <w:sz w:val="28"/>
          <w:szCs w:val="28"/>
        </w:rPr>
        <w:br w:type="page"/>
      </w:r>
    </w:p>
    <w:p w14:paraId="404B6882">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cs="Times New Roman"/>
          <w:b w:val="0"/>
          <w:snapToGrid w:val="0"/>
          <w:kern w:val="0"/>
          <w:sz w:val="40"/>
          <w:szCs w:val="40"/>
          <w:lang w:eastAsia="en-US"/>
        </w:rPr>
      </w:pPr>
      <w:bookmarkStart w:id="27" w:name="_Toc215675804"/>
      <w:r>
        <w:rPr>
          <w:rFonts w:hint="eastAsia" w:ascii="Times New Roman" w:hAnsi="Times New Roman" w:eastAsia="黑体" w:cs="Times New Roman"/>
          <w:b w:val="0"/>
          <w:snapToGrid w:val="0"/>
          <w:kern w:val="0"/>
          <w:sz w:val="40"/>
          <w:szCs w:val="40"/>
          <w:lang w:eastAsia="en-US"/>
        </w:rPr>
        <w:t xml:space="preserve">4 </w:t>
      </w:r>
      <w:r>
        <w:rPr>
          <w:rFonts w:ascii="Times New Roman" w:hAnsi="Times New Roman" w:eastAsia="黑体" w:cs="Times New Roman"/>
          <w:b w:val="0"/>
          <w:snapToGrid w:val="0"/>
          <w:kern w:val="0"/>
          <w:sz w:val="40"/>
          <w:szCs w:val="40"/>
          <w:lang w:eastAsia="en-US"/>
        </w:rPr>
        <w:t xml:space="preserve"> </w:t>
      </w:r>
      <w:r>
        <w:rPr>
          <w:rFonts w:hint="eastAsia" w:ascii="Times New Roman" w:hAnsi="Times New Roman" w:eastAsia="黑体" w:cs="Times New Roman"/>
          <w:b w:val="0"/>
          <w:snapToGrid w:val="0"/>
          <w:kern w:val="0"/>
          <w:sz w:val="40"/>
          <w:szCs w:val="40"/>
          <w:lang w:eastAsia="en-US"/>
        </w:rPr>
        <w:t>选址要</w:t>
      </w:r>
      <w:r>
        <w:rPr>
          <w:rFonts w:hint="eastAsia" w:ascii="Times New Roman" w:hAnsi="Times New Roman" w:eastAsia="黑体" w:cs="Times New Roman"/>
          <w:b w:val="0"/>
          <w:snapToGrid w:val="0"/>
          <w:kern w:val="0"/>
          <w:sz w:val="40"/>
          <w:szCs w:val="40"/>
        </w:rPr>
        <w:t>求</w:t>
      </w:r>
      <w:bookmarkEnd w:id="27"/>
    </w:p>
    <w:p w14:paraId="52EE4BF8">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cs="Times New Roman"/>
          <w:b w:val="0"/>
          <w:snapToGrid w:val="0"/>
          <w:kern w:val="0"/>
          <w:sz w:val="40"/>
          <w:szCs w:val="40"/>
          <w:lang w:eastAsia="en-US"/>
        </w:rPr>
      </w:pPr>
    </w:p>
    <w:p w14:paraId="55613AF6">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4.0.1 城郊大仓基地选址</w:t>
      </w:r>
      <w:r>
        <w:rPr>
          <w:rFonts w:hint="eastAsia" w:ascii="Times New Roman" w:hAnsi="Times New Roman" w:eastAsia="方正仿宋_GB2312" w:cs="Times New Roman"/>
          <w:b w:val="0"/>
          <w:bCs w:val="0"/>
          <w:color w:val="auto"/>
        </w:rPr>
        <w:t>和布局应符合宝鸡市国土空间总体规划、详细规划、专项规划等法定规划，划定特定控制线管理，保障其用地规模和布局合理性。</w:t>
      </w:r>
    </w:p>
    <w:p w14:paraId="6A706389">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4.0.2 城郊大仓基地选址应符合环境影响评价的要求。</w:t>
      </w:r>
    </w:p>
    <w:p w14:paraId="74A7626C">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4.0.3 城郊大仓基地选址宜位于宝鸡市城郊，临近机场、火车站、高、快速公路出入口等交通枢纽节点和陆港、空港等重点物流枢纽区域，宜避免临近居住区、中小学校、幼儿园、医院、体育场馆、大型商业等人员密集场所。</w:t>
      </w:r>
    </w:p>
    <w:p w14:paraId="10107B1D">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4.0.4 城郊大仓基地应位于地质条件良好、市政配套条件齐备、交通便利、常年洪水位以上的地段，不应布局在危险品仓储设施周边、地质灾害易发地段、能源走廊、生态敏感区、水源保护区等不适宜建设范围。</w:t>
      </w:r>
    </w:p>
    <w:p w14:paraId="634FC114">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4.0.5 选址应优先考虑地势较为平坦，视野相对开阔的场地，便于紧急情况下直升飞机起降。</w:t>
      </w:r>
    </w:p>
    <w:p w14:paraId="27041A60">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4.0.6 选址布局应坚持节约优先原则，充分利用现有存量建设用地资源，优化空间结构，提高空间复合利用效率。</w:t>
      </w:r>
    </w:p>
    <w:p w14:paraId="61078C48">
      <w:pPr>
        <w:rPr>
          <w:rFonts w:ascii="宋体" w:hAnsi="宋体" w:eastAsia="宋体"/>
          <w:sz w:val="28"/>
          <w:szCs w:val="28"/>
        </w:rPr>
      </w:pPr>
      <w:r>
        <w:rPr>
          <w:rFonts w:ascii="宋体" w:hAnsi="宋体" w:eastAsia="宋体"/>
          <w:sz w:val="28"/>
          <w:szCs w:val="28"/>
        </w:rPr>
        <w:br w:type="page"/>
      </w:r>
    </w:p>
    <w:p w14:paraId="7FAA9250">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cs="Times New Roman"/>
          <w:b w:val="0"/>
          <w:snapToGrid w:val="0"/>
          <w:kern w:val="0"/>
          <w:sz w:val="40"/>
          <w:szCs w:val="40"/>
          <w:lang w:eastAsia="en-US"/>
        </w:rPr>
      </w:pPr>
      <w:bookmarkStart w:id="28" w:name="_Toc215675805"/>
      <w:r>
        <w:rPr>
          <w:rFonts w:hint="eastAsia" w:ascii="Times New Roman" w:hAnsi="Times New Roman" w:eastAsia="黑体" w:cs="Times New Roman"/>
          <w:b w:val="0"/>
          <w:snapToGrid w:val="0"/>
          <w:kern w:val="0"/>
          <w:sz w:val="40"/>
          <w:szCs w:val="40"/>
          <w:lang w:eastAsia="en-US"/>
        </w:rPr>
        <w:t>5</w:t>
      </w:r>
      <w:r>
        <w:rPr>
          <w:rFonts w:ascii="Times New Roman" w:hAnsi="Times New Roman" w:eastAsia="黑体" w:cs="Times New Roman"/>
          <w:b w:val="0"/>
          <w:snapToGrid w:val="0"/>
          <w:kern w:val="0"/>
          <w:sz w:val="40"/>
          <w:szCs w:val="40"/>
          <w:lang w:eastAsia="en-US"/>
        </w:rPr>
        <w:t xml:space="preserve">  </w:t>
      </w:r>
      <w:r>
        <w:rPr>
          <w:rFonts w:hint="eastAsia" w:ascii="Times New Roman" w:hAnsi="Times New Roman" w:eastAsia="黑体" w:cs="Times New Roman"/>
          <w:b w:val="0"/>
          <w:snapToGrid w:val="0"/>
          <w:kern w:val="0"/>
          <w:sz w:val="40"/>
          <w:szCs w:val="40"/>
          <w:lang w:eastAsia="en-US"/>
        </w:rPr>
        <w:t>总平</w:t>
      </w:r>
      <w:r>
        <w:rPr>
          <w:rFonts w:hint="eastAsia" w:ascii="Times New Roman" w:hAnsi="Times New Roman" w:eastAsia="黑体" w:cs="Times New Roman"/>
          <w:b w:val="0"/>
          <w:snapToGrid w:val="0"/>
          <w:kern w:val="0"/>
          <w:sz w:val="40"/>
          <w:szCs w:val="40"/>
        </w:rPr>
        <w:t>面</w:t>
      </w:r>
      <w:bookmarkEnd w:id="28"/>
    </w:p>
    <w:p w14:paraId="63749B15">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cs="Times New Roman"/>
          <w:b w:val="0"/>
          <w:snapToGrid w:val="0"/>
          <w:kern w:val="0"/>
          <w:sz w:val="40"/>
          <w:szCs w:val="40"/>
          <w:lang w:eastAsia="en-US"/>
        </w:rPr>
      </w:pPr>
    </w:p>
    <w:p w14:paraId="22E77635">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5.</w:t>
      </w:r>
      <w:r>
        <w:rPr>
          <w:rFonts w:hint="eastAsia" w:ascii="Times New Roman" w:hAnsi="Times New Roman" w:eastAsia="方正仿宋_GB2312" w:cs="Times New Roman"/>
          <w:b w:val="0"/>
          <w:bCs w:val="0"/>
          <w:color w:val="auto"/>
        </w:rPr>
        <w:t>0</w:t>
      </w:r>
      <w:r>
        <w:rPr>
          <w:rFonts w:ascii="Times New Roman" w:hAnsi="Times New Roman" w:eastAsia="方正仿宋_GB2312" w:cs="Times New Roman"/>
          <w:b w:val="0"/>
          <w:bCs w:val="0"/>
          <w:color w:val="auto"/>
        </w:rPr>
        <w:t>.1</w:t>
      </w:r>
      <w:r>
        <w:rPr>
          <w:rFonts w:hint="eastAsia" w:ascii="Times New Roman" w:hAnsi="Times New Roman" w:eastAsia="方正仿宋_GB2312" w:cs="Times New Roman"/>
          <w:b w:val="0"/>
          <w:bCs w:val="0"/>
          <w:color w:val="auto"/>
        </w:rPr>
        <w:t xml:space="preserve"> </w:t>
      </w:r>
      <w:r>
        <w:rPr>
          <w:rFonts w:ascii="Times New Roman" w:hAnsi="Times New Roman" w:eastAsia="方正仿宋_GB2312" w:cs="Times New Roman"/>
          <w:b w:val="0"/>
          <w:bCs w:val="0"/>
          <w:color w:val="auto"/>
        </w:rPr>
        <w:t>城郊大仓基地“急时”总平面应符合“三区三通道”的要求，各区之间的边界应有明显标识和物理隔离设施。</w:t>
      </w:r>
    </w:p>
    <w:p w14:paraId="24AE880D">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5.</w:t>
      </w:r>
      <w:r>
        <w:rPr>
          <w:rFonts w:hint="eastAsia" w:ascii="Times New Roman" w:hAnsi="Times New Roman" w:eastAsia="方正仿宋_GB2312" w:cs="Times New Roman"/>
          <w:b w:val="0"/>
          <w:bCs w:val="0"/>
          <w:color w:val="auto"/>
        </w:rPr>
        <w:t>0</w:t>
      </w:r>
      <w:r>
        <w:rPr>
          <w:rFonts w:ascii="Times New Roman" w:hAnsi="Times New Roman" w:eastAsia="方正仿宋_GB2312" w:cs="Times New Roman"/>
          <w:b w:val="0"/>
          <w:bCs w:val="0"/>
          <w:color w:val="auto"/>
        </w:rPr>
        <w:t>.2 “急时”外区人员和内区人员出入口完全分开，场地出入口不应少于2处，宜设于地块不同方向。</w:t>
      </w:r>
    </w:p>
    <w:p w14:paraId="56A6286C">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5.</w:t>
      </w:r>
      <w:r>
        <w:rPr>
          <w:rFonts w:hint="eastAsia" w:ascii="Times New Roman" w:hAnsi="Times New Roman" w:eastAsia="方正仿宋_GB2312" w:cs="Times New Roman"/>
          <w:b w:val="0"/>
          <w:bCs w:val="0"/>
          <w:color w:val="auto"/>
        </w:rPr>
        <w:t>0</w:t>
      </w:r>
      <w:r>
        <w:rPr>
          <w:rFonts w:ascii="Times New Roman" w:hAnsi="Times New Roman" w:eastAsia="方正仿宋_GB2312" w:cs="Times New Roman"/>
          <w:b w:val="0"/>
          <w:bCs w:val="0"/>
          <w:color w:val="auto"/>
        </w:rPr>
        <w:t>.3</w:t>
      </w:r>
      <w:r>
        <w:rPr>
          <w:rFonts w:hint="eastAsia" w:ascii="Times New Roman" w:hAnsi="Times New Roman" w:eastAsia="方正仿宋_GB2312" w:cs="Times New Roman"/>
          <w:b w:val="0"/>
          <w:bCs w:val="0"/>
          <w:color w:val="auto"/>
        </w:rPr>
        <w:t xml:space="preserve"> </w:t>
      </w:r>
      <w:r>
        <w:rPr>
          <w:rFonts w:ascii="Times New Roman" w:hAnsi="Times New Roman" w:eastAsia="方正仿宋_GB2312" w:cs="Times New Roman"/>
          <w:b w:val="0"/>
          <w:bCs w:val="0"/>
          <w:color w:val="auto"/>
        </w:rPr>
        <w:t>内区应靠城市主城区一侧，并宜设置在场地主导风的上风向。</w:t>
      </w:r>
    </w:p>
    <w:p w14:paraId="3F699EEF">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5.</w:t>
      </w:r>
      <w:r>
        <w:rPr>
          <w:rFonts w:hint="eastAsia" w:ascii="Times New Roman" w:hAnsi="Times New Roman" w:eastAsia="方正仿宋_GB2312" w:cs="Times New Roman"/>
          <w:b w:val="0"/>
          <w:bCs w:val="0"/>
          <w:color w:val="auto"/>
        </w:rPr>
        <w:t>0</w:t>
      </w:r>
      <w:r>
        <w:rPr>
          <w:rFonts w:ascii="Times New Roman" w:hAnsi="Times New Roman" w:eastAsia="方正仿宋_GB2312" w:cs="Times New Roman"/>
          <w:b w:val="0"/>
          <w:bCs w:val="0"/>
          <w:color w:val="auto"/>
        </w:rPr>
        <w:t>.4 “急时”货物应经过车辆消杀、消杀缓冲、检疫检验、货车甩挂后进入内区存储场地；货物检疫检验异常时移至货物临时隔离区。每批次消杀间隔时间不小于30分钟。</w:t>
      </w:r>
    </w:p>
    <w:p w14:paraId="52031FA6">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5.</w:t>
      </w:r>
      <w:r>
        <w:rPr>
          <w:rFonts w:hint="eastAsia" w:ascii="Times New Roman" w:hAnsi="Times New Roman" w:eastAsia="方正仿宋_GB2312" w:cs="Times New Roman"/>
          <w:b w:val="0"/>
          <w:bCs w:val="0"/>
          <w:color w:val="auto"/>
        </w:rPr>
        <w:t>0</w:t>
      </w:r>
      <w:r>
        <w:rPr>
          <w:rFonts w:ascii="Times New Roman" w:hAnsi="Times New Roman" w:eastAsia="方正仿宋_GB2312" w:cs="Times New Roman"/>
          <w:b w:val="0"/>
          <w:bCs w:val="0"/>
          <w:color w:val="auto"/>
        </w:rPr>
        <w:t>.5 “急时”外来人员检验检疫异常时，送至外来人员临时隔离点；无异常时可至外来人员休息区。</w:t>
      </w:r>
    </w:p>
    <w:p w14:paraId="5CE20190">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5.</w:t>
      </w:r>
      <w:r>
        <w:rPr>
          <w:rFonts w:hint="eastAsia" w:ascii="Times New Roman" w:hAnsi="Times New Roman" w:eastAsia="方正仿宋_GB2312" w:cs="Times New Roman"/>
          <w:b w:val="0"/>
          <w:bCs w:val="0"/>
          <w:color w:val="auto"/>
        </w:rPr>
        <w:t>0</w:t>
      </w:r>
      <w:r>
        <w:rPr>
          <w:rFonts w:ascii="Times New Roman" w:hAnsi="Times New Roman" w:eastAsia="方正仿宋_GB2312" w:cs="Times New Roman"/>
          <w:b w:val="0"/>
          <w:bCs w:val="0"/>
          <w:color w:val="auto"/>
        </w:rPr>
        <w:t>.6 外来人员临时隔离点应设在常年主导风的下风向。隔离点与其他区域之间应设置≥20m的绿化卫生间距。当不具备绿化条件时，其卫生间距应≥30m。隔离观察区根据规模宜划分为多个管理单元，单元之间的距离不宜小于12m。</w:t>
      </w:r>
    </w:p>
    <w:p w14:paraId="6562DE7B">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5.</w:t>
      </w:r>
      <w:r>
        <w:rPr>
          <w:rFonts w:hint="eastAsia" w:ascii="Times New Roman" w:hAnsi="Times New Roman" w:eastAsia="方正仿宋_GB2312" w:cs="Times New Roman"/>
          <w:b w:val="0"/>
          <w:bCs w:val="0"/>
          <w:color w:val="auto"/>
        </w:rPr>
        <w:t>0</w:t>
      </w:r>
      <w:r>
        <w:rPr>
          <w:rFonts w:ascii="Times New Roman" w:hAnsi="Times New Roman" w:eastAsia="方正仿宋_GB2312" w:cs="Times New Roman"/>
          <w:b w:val="0"/>
          <w:bCs w:val="0"/>
          <w:color w:val="auto"/>
        </w:rPr>
        <w:t>.7</w:t>
      </w:r>
      <w:r>
        <w:rPr>
          <w:rFonts w:hint="eastAsia" w:ascii="Times New Roman" w:hAnsi="Times New Roman" w:eastAsia="方正仿宋_GB2312" w:cs="Times New Roman"/>
          <w:b w:val="0"/>
          <w:bCs w:val="0"/>
          <w:color w:val="auto"/>
        </w:rPr>
        <w:t xml:space="preserve"> </w:t>
      </w:r>
      <w:r>
        <w:rPr>
          <w:rFonts w:ascii="Times New Roman" w:hAnsi="Times New Roman" w:eastAsia="方正仿宋_GB2312" w:cs="Times New Roman"/>
          <w:b w:val="0"/>
          <w:bCs w:val="0"/>
          <w:color w:val="auto"/>
        </w:rPr>
        <w:t>垃圾暂存间、污水处理等设施应设置在外区的临时隔离点附近，宜设置在场地主导风向的下风向。内区应设置生活垃圾处置区域及垃圾转运通道。</w:t>
      </w:r>
    </w:p>
    <w:p w14:paraId="1CFE077A">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5.</w:t>
      </w:r>
      <w:r>
        <w:rPr>
          <w:rFonts w:hint="eastAsia" w:ascii="Times New Roman" w:hAnsi="Times New Roman" w:eastAsia="方正仿宋_GB2312" w:cs="Times New Roman"/>
          <w:b w:val="0"/>
          <w:bCs w:val="0"/>
          <w:color w:val="auto"/>
        </w:rPr>
        <w:t>0</w:t>
      </w:r>
      <w:r>
        <w:rPr>
          <w:rFonts w:ascii="Times New Roman" w:hAnsi="Times New Roman" w:eastAsia="方正仿宋_GB2312" w:cs="Times New Roman"/>
          <w:b w:val="0"/>
          <w:bCs w:val="0"/>
          <w:color w:val="auto"/>
        </w:rPr>
        <w:t>.8 场地标高应高出市政道路标高，有洪涝风险的场地应采取可靠的防洪、防内涝措施。场地的竖向设计应有利于地面雨水分区排放。建筑物室内地面标高应高出室外场地标高，且高差不应小于0.15m。</w:t>
      </w:r>
    </w:p>
    <w:p w14:paraId="58719149">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5.</w:t>
      </w:r>
      <w:r>
        <w:rPr>
          <w:rFonts w:hint="eastAsia" w:ascii="Times New Roman" w:hAnsi="Times New Roman" w:eastAsia="方正仿宋_GB2312" w:cs="Times New Roman"/>
          <w:b w:val="0"/>
          <w:bCs w:val="0"/>
          <w:color w:val="auto"/>
        </w:rPr>
        <w:t>0</w:t>
      </w:r>
      <w:r>
        <w:rPr>
          <w:rFonts w:ascii="Times New Roman" w:hAnsi="Times New Roman" w:eastAsia="方正仿宋_GB2312" w:cs="Times New Roman"/>
          <w:b w:val="0"/>
          <w:bCs w:val="0"/>
          <w:color w:val="auto"/>
        </w:rPr>
        <w:t>.9 基地内的车道宽度、承重、转弯半径应满足40ft集装箱卡车通行的要求，并宜结合消防车道统一规划设置。主通道宜为双车道，宽度不宜小于9m；当主通道设计为单向通行时，其宽度不宜小于5m。</w:t>
      </w:r>
    </w:p>
    <w:p w14:paraId="17DF7FAE">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5.</w:t>
      </w:r>
      <w:r>
        <w:rPr>
          <w:rFonts w:hint="eastAsia" w:ascii="Times New Roman" w:hAnsi="Times New Roman" w:eastAsia="方正仿宋_GB2312" w:cs="Times New Roman"/>
          <w:b w:val="0"/>
          <w:bCs w:val="0"/>
          <w:color w:val="auto"/>
        </w:rPr>
        <w:t>0</w:t>
      </w:r>
      <w:r>
        <w:rPr>
          <w:rFonts w:ascii="Times New Roman" w:hAnsi="Times New Roman" w:eastAsia="方正仿宋_GB2312" w:cs="Times New Roman"/>
          <w:b w:val="0"/>
          <w:bCs w:val="0"/>
          <w:color w:val="auto"/>
        </w:rPr>
        <w:t>.10</w:t>
      </w:r>
      <w:r>
        <w:rPr>
          <w:rFonts w:hint="eastAsia" w:ascii="Times New Roman" w:hAnsi="Times New Roman" w:eastAsia="方正仿宋_GB2312" w:cs="Times New Roman"/>
          <w:b w:val="0"/>
          <w:bCs w:val="0"/>
          <w:color w:val="auto"/>
        </w:rPr>
        <w:t xml:space="preserve"> </w:t>
      </w:r>
      <w:r>
        <w:rPr>
          <w:rFonts w:ascii="Times New Roman" w:hAnsi="Times New Roman" w:eastAsia="方正仿宋_GB2312" w:cs="Times New Roman"/>
          <w:b w:val="0"/>
          <w:bCs w:val="0"/>
          <w:color w:val="auto"/>
        </w:rPr>
        <w:t>装卸作业区的宽度及地面承重应满足40ft集装箱卡车作业需要。单侧装卸作业时宽度（含车辆通道）不宜小于30m；相向作业时宽度（含车辆通道）不宜小于45m。</w:t>
      </w:r>
    </w:p>
    <w:p w14:paraId="7431E7BC">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5.</w:t>
      </w:r>
      <w:r>
        <w:rPr>
          <w:rFonts w:hint="eastAsia" w:ascii="Times New Roman" w:hAnsi="Times New Roman" w:eastAsia="方正仿宋_GB2312" w:cs="Times New Roman"/>
          <w:b w:val="0"/>
          <w:bCs w:val="0"/>
          <w:color w:val="auto"/>
        </w:rPr>
        <w:t>0</w:t>
      </w:r>
      <w:r>
        <w:rPr>
          <w:rFonts w:ascii="Times New Roman" w:hAnsi="Times New Roman" w:eastAsia="方正仿宋_GB2312" w:cs="Times New Roman"/>
          <w:b w:val="0"/>
          <w:bCs w:val="0"/>
          <w:color w:val="auto"/>
        </w:rPr>
        <w:t>.11 考虑用地“平时”的远期发展和“急时”的抗灾冗余性，宜预留扩展场地。</w:t>
      </w:r>
    </w:p>
    <w:p w14:paraId="4FDD940F">
      <w:pPr>
        <w:rPr>
          <w:rFonts w:ascii="宋体" w:hAnsi="宋体" w:eastAsia="宋体"/>
          <w:sz w:val="28"/>
          <w:szCs w:val="28"/>
        </w:rPr>
      </w:pPr>
      <w:r>
        <w:rPr>
          <w:rFonts w:ascii="宋体" w:hAnsi="宋体" w:eastAsia="宋体"/>
          <w:sz w:val="28"/>
          <w:szCs w:val="28"/>
        </w:rPr>
        <w:br w:type="page"/>
      </w:r>
    </w:p>
    <w:p w14:paraId="512F6033">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cs="Times New Roman"/>
          <w:b w:val="0"/>
          <w:snapToGrid w:val="0"/>
          <w:kern w:val="0"/>
          <w:sz w:val="40"/>
          <w:szCs w:val="40"/>
          <w:lang w:eastAsia="en-US"/>
        </w:rPr>
      </w:pPr>
      <w:bookmarkStart w:id="29" w:name="_Toc215675806"/>
      <w:r>
        <w:rPr>
          <w:rFonts w:hint="eastAsia" w:ascii="Times New Roman" w:hAnsi="Times New Roman" w:eastAsia="黑体" w:cs="Times New Roman"/>
          <w:b w:val="0"/>
          <w:snapToGrid w:val="0"/>
          <w:kern w:val="0"/>
          <w:sz w:val="40"/>
          <w:szCs w:val="40"/>
          <w:lang w:eastAsia="en-US"/>
        </w:rPr>
        <w:t xml:space="preserve">6 </w:t>
      </w:r>
      <w:r>
        <w:rPr>
          <w:rFonts w:ascii="Times New Roman" w:hAnsi="Times New Roman" w:eastAsia="黑体" w:cs="Times New Roman"/>
          <w:b w:val="0"/>
          <w:snapToGrid w:val="0"/>
          <w:kern w:val="0"/>
          <w:sz w:val="40"/>
          <w:szCs w:val="40"/>
          <w:lang w:eastAsia="en-US"/>
        </w:rPr>
        <w:t xml:space="preserve"> </w:t>
      </w:r>
      <w:r>
        <w:rPr>
          <w:rFonts w:hint="eastAsia" w:ascii="Times New Roman" w:hAnsi="Times New Roman" w:eastAsia="黑体" w:cs="Times New Roman"/>
          <w:b w:val="0"/>
          <w:snapToGrid w:val="0"/>
          <w:kern w:val="0"/>
          <w:sz w:val="40"/>
          <w:szCs w:val="40"/>
          <w:lang w:eastAsia="en-US"/>
        </w:rPr>
        <w:t>建</w:t>
      </w:r>
      <w:r>
        <w:rPr>
          <w:rFonts w:hint="eastAsia" w:ascii="Times New Roman" w:hAnsi="Times New Roman" w:eastAsia="黑体" w:cs="Times New Roman"/>
          <w:b w:val="0"/>
          <w:snapToGrid w:val="0"/>
          <w:kern w:val="0"/>
          <w:sz w:val="40"/>
          <w:szCs w:val="40"/>
        </w:rPr>
        <w:t>筑</w:t>
      </w:r>
      <w:bookmarkEnd w:id="29"/>
    </w:p>
    <w:p w14:paraId="399419F9">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cs="Times New Roman"/>
          <w:b w:val="0"/>
          <w:snapToGrid w:val="0"/>
          <w:kern w:val="0"/>
          <w:sz w:val="40"/>
          <w:szCs w:val="40"/>
          <w:lang w:eastAsia="en-US"/>
        </w:rPr>
      </w:pPr>
    </w:p>
    <w:p w14:paraId="01B536E9">
      <w:pPr>
        <w:pStyle w:val="4"/>
        <w:keepNext w:val="0"/>
        <w:keepLines w:val="0"/>
        <w:widowControl/>
        <w:topLinePunct/>
        <w:adjustRightInd w:val="0"/>
        <w:spacing w:before="280" w:after="280" w:line="360" w:lineRule="auto"/>
        <w:contextualSpacing/>
        <w:jc w:val="center"/>
        <w:textAlignment w:val="baseline"/>
        <w:rPr>
          <w:rFonts w:ascii="黑体" w:hAnsi="黑体" w:eastAsia="黑体" w:cs="黑体"/>
          <w:b w:val="0"/>
          <w:snapToGrid w:val="0"/>
          <w:kern w:val="0"/>
          <w:lang w:eastAsia="en-US"/>
        </w:rPr>
      </w:pPr>
      <w:bookmarkStart w:id="30" w:name="_Toc215675807"/>
      <w:r>
        <w:rPr>
          <w:rFonts w:hint="eastAsia" w:ascii="黑体" w:hAnsi="黑体" w:eastAsia="黑体" w:cs="黑体"/>
          <w:b w:val="0"/>
          <w:snapToGrid w:val="0"/>
          <w:kern w:val="0"/>
          <w:lang w:eastAsia="en-US"/>
        </w:rPr>
        <w:t xml:space="preserve">6.1 </w:t>
      </w:r>
      <w:r>
        <w:rPr>
          <w:rFonts w:ascii="黑体" w:hAnsi="黑体" w:eastAsia="黑体" w:cs="黑体"/>
          <w:b w:val="0"/>
          <w:snapToGrid w:val="0"/>
          <w:kern w:val="0"/>
          <w:lang w:eastAsia="en-US"/>
        </w:rPr>
        <w:t xml:space="preserve"> </w:t>
      </w:r>
      <w:r>
        <w:rPr>
          <w:rFonts w:hint="eastAsia" w:ascii="黑体" w:hAnsi="黑体" w:eastAsia="黑体" w:cs="黑体"/>
          <w:b w:val="0"/>
          <w:snapToGrid w:val="0"/>
          <w:kern w:val="0"/>
          <w:lang w:eastAsia="en-US"/>
        </w:rPr>
        <w:t>外区</w:t>
      </w:r>
      <w:bookmarkEnd w:id="30"/>
    </w:p>
    <w:p w14:paraId="200826C5">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6.1.1 外区应自成一区，并设独立出入口。</w:t>
      </w:r>
    </w:p>
    <w:p w14:paraId="73C407CA">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6.1.2 外区应设置货车停车位</w:t>
      </w:r>
      <w:r>
        <w:rPr>
          <w:rFonts w:ascii="Times New Roman" w:hAnsi="Times New Roman" w:eastAsia="方正仿宋_GB2312" w:cs="Times New Roman"/>
          <w:b w:val="0"/>
          <w:bCs w:val="0"/>
          <w:color w:val="auto"/>
        </w:rPr>
        <w:t>、</w:t>
      </w:r>
      <w:r>
        <w:rPr>
          <w:rFonts w:hint="eastAsia" w:ascii="Times New Roman" w:hAnsi="Times New Roman" w:eastAsia="方正仿宋_GB2312" w:cs="Times New Roman"/>
          <w:b w:val="0"/>
          <w:bCs w:val="0"/>
          <w:color w:val="auto"/>
        </w:rPr>
        <w:t>外来人员休息区、外来人员和货物临时隔离点及生活配套设施。</w:t>
      </w:r>
    </w:p>
    <w:p w14:paraId="426BD861">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6.1.3 外区的临时隔离点应明确标识限制边界，并有防止无关人员进入的实体隔离措施。外来人员或货物隔离时不宜过夜。</w:t>
      </w:r>
    </w:p>
    <w:p w14:paraId="3E58CECA">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6.1.4 外来人员临时隔离点应设置临时隔离房间、留观通道以及垃圾暂存间、污水处理等配套用房。临时设施宜采用轻型装配式建筑，以模块化方式组装，便于“急时”快速转换使用。</w:t>
      </w:r>
    </w:p>
    <w:p w14:paraId="7001F525">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6.1.5 建筑内“平时”“急时”需要控制人员随意出入的疏散门和设置 门禁系统的门，应保证火灾时不需使用钥匙等任何工具即能从内部易于打开。</w:t>
      </w:r>
    </w:p>
    <w:p w14:paraId="16267D83">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6.1.6 人员</w:t>
      </w:r>
      <w:r>
        <w:rPr>
          <w:rFonts w:ascii="Times New Roman" w:hAnsi="Times New Roman" w:eastAsia="方正仿宋_GB2312" w:cs="Times New Roman"/>
          <w:b w:val="0"/>
          <w:bCs w:val="0"/>
          <w:color w:val="auto"/>
        </w:rPr>
        <w:t>临时隔离</w:t>
      </w:r>
      <w:r>
        <w:rPr>
          <w:rFonts w:hint="eastAsia" w:ascii="Times New Roman" w:hAnsi="Times New Roman" w:eastAsia="方正仿宋_GB2312" w:cs="Times New Roman"/>
          <w:b w:val="0"/>
          <w:bCs w:val="0"/>
          <w:color w:val="auto"/>
        </w:rPr>
        <w:t>房间应以单人间为主，并配置卫生间，根据需要可设置少量的家庭房间。</w:t>
      </w:r>
    </w:p>
    <w:p w14:paraId="5DA9C1CF">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6.1.7 隔离房间应设可自然通风外窗。阳台、外窗应具备隔离转换时安装必要安全防护设施的条件，且门窗开启后应满足相应通风、排烟要求。隔离通道应具备自然通风或机械通风条件。</w:t>
      </w:r>
    </w:p>
    <w:p w14:paraId="547D1D61">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6.1.8 隔离房间室内装修面层材料应满足便于清洁</w:t>
      </w:r>
      <w:r>
        <w:rPr>
          <w:rFonts w:ascii="Times New Roman" w:hAnsi="Times New Roman" w:eastAsia="方正仿宋_GB2312" w:cs="Times New Roman"/>
          <w:b w:val="0"/>
          <w:bCs w:val="0"/>
          <w:color w:val="auto"/>
        </w:rPr>
        <w:t>、消毒</w:t>
      </w:r>
      <w:r>
        <w:rPr>
          <w:rFonts w:hint="eastAsia" w:ascii="Times New Roman" w:hAnsi="Times New Roman" w:eastAsia="方正仿宋_GB2312" w:cs="Times New Roman"/>
          <w:b w:val="0"/>
          <w:bCs w:val="0"/>
          <w:color w:val="auto"/>
        </w:rPr>
        <w:t>、防腐蚀和易于维护的要求。踢脚不宜凸出墙面。室内面层不应选用布艺、地毯等材料，不应选用有织物表面的家具。</w:t>
      </w:r>
    </w:p>
    <w:p w14:paraId="5EDD03C1">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6.1.9 当隔离点建筑为两层及以上时，宜设置专用的清洁电梯和污物电梯。</w:t>
      </w:r>
    </w:p>
    <w:p w14:paraId="5FE5E412">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6.1.10 当隔离点设有多个留观单元时，宜按每隔离单元不超过 30 间设置。</w:t>
      </w:r>
    </w:p>
    <w:p w14:paraId="116B6208">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6.1.11 主要机房、设备检修场所不宜设置在临时隔离区域内。</w:t>
      </w:r>
    </w:p>
    <w:p w14:paraId="5F9C7810">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6.1.12 有气密性要求的房间、区域边界隔墙应砌筑到梁底或楼板底。</w:t>
      </w:r>
    </w:p>
    <w:p w14:paraId="10B6EFA2">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6.1.13 穿越有气密性要求隔墙的管线周边缝隙及槽口、管口应采用气密性材料封堵。</w:t>
      </w:r>
    </w:p>
    <w:p w14:paraId="5513C9F4">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6.1.14 隔离房间的空调系统宜采用各室独立空调形式。</w:t>
      </w:r>
    </w:p>
    <w:p w14:paraId="73378701">
      <w:pPr>
        <w:pStyle w:val="4"/>
        <w:keepNext w:val="0"/>
        <w:keepLines w:val="0"/>
        <w:widowControl/>
        <w:topLinePunct/>
        <w:adjustRightInd w:val="0"/>
        <w:spacing w:before="280" w:after="280" w:line="360" w:lineRule="auto"/>
        <w:contextualSpacing/>
        <w:jc w:val="center"/>
        <w:textAlignment w:val="baseline"/>
        <w:rPr>
          <w:rFonts w:ascii="黑体" w:hAnsi="黑体" w:eastAsia="黑体" w:cs="黑体"/>
          <w:b w:val="0"/>
          <w:snapToGrid w:val="0"/>
          <w:kern w:val="0"/>
          <w:lang w:eastAsia="en-US"/>
        </w:rPr>
      </w:pPr>
      <w:bookmarkStart w:id="31" w:name="_Toc215675808"/>
      <w:r>
        <w:rPr>
          <w:rFonts w:hint="eastAsia" w:ascii="黑体" w:hAnsi="黑体" w:eastAsia="黑体" w:cs="黑体"/>
          <w:b w:val="0"/>
          <w:snapToGrid w:val="0"/>
          <w:kern w:val="0"/>
          <w:lang w:eastAsia="en-US"/>
        </w:rPr>
        <w:t xml:space="preserve">6.2 </w:t>
      </w:r>
      <w:r>
        <w:rPr>
          <w:rFonts w:ascii="黑体" w:hAnsi="黑体" w:eastAsia="黑体" w:cs="黑体"/>
          <w:b w:val="0"/>
          <w:snapToGrid w:val="0"/>
          <w:kern w:val="0"/>
          <w:lang w:eastAsia="en-US"/>
        </w:rPr>
        <w:t xml:space="preserve"> </w:t>
      </w:r>
      <w:r>
        <w:rPr>
          <w:rFonts w:hint="eastAsia" w:ascii="黑体" w:hAnsi="黑体" w:eastAsia="黑体" w:cs="黑体"/>
          <w:b w:val="0"/>
          <w:snapToGrid w:val="0"/>
          <w:kern w:val="0"/>
          <w:lang w:eastAsia="en-US"/>
        </w:rPr>
        <w:t>缓冲区</w:t>
      </w:r>
      <w:bookmarkEnd w:id="31"/>
    </w:p>
    <w:p w14:paraId="34432AC0">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6.2.1 缓冲区应设于内区与外区之间。</w:t>
      </w:r>
    </w:p>
    <w:p w14:paraId="0FCBC51F">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6.2.2 缓冲区应设置检验检疫、人员及车辆的卫生通过区、货车甩挂区和司机交换场地。</w:t>
      </w:r>
    </w:p>
    <w:p w14:paraId="1755E0AD">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6.2.3 卫生通过区应符合下列规定：</w:t>
      </w:r>
    </w:p>
    <w:p w14:paraId="5498F8FB">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w:t>
      </w:r>
      <w:r>
        <w:rPr>
          <w:rFonts w:ascii="Times New Roman" w:hAnsi="Times New Roman" w:eastAsia="方正仿宋_GB2312" w:cs="Times New Roman"/>
          <w:b w:val="0"/>
          <w:bCs w:val="0"/>
          <w:color w:val="auto"/>
        </w:rPr>
        <w:t>.2.3.1</w:t>
      </w:r>
      <w:r>
        <w:rPr>
          <w:rFonts w:hint="eastAsia" w:ascii="Times New Roman" w:hAnsi="Times New Roman" w:eastAsia="方正仿宋_GB2312" w:cs="Times New Roman"/>
          <w:b w:val="0"/>
          <w:bCs w:val="0"/>
          <w:color w:val="auto"/>
        </w:rPr>
        <w:t xml:space="preserve"> 卫生通过区的工作人员进入和返回通道应严格分开；</w:t>
      </w:r>
    </w:p>
    <w:p w14:paraId="0B948E80">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w:t>
      </w:r>
      <w:r>
        <w:rPr>
          <w:rFonts w:ascii="Times New Roman" w:hAnsi="Times New Roman" w:eastAsia="方正仿宋_GB2312" w:cs="Times New Roman"/>
          <w:b w:val="0"/>
          <w:bCs w:val="0"/>
          <w:color w:val="auto"/>
        </w:rPr>
        <w:t>.2.3.2</w:t>
      </w:r>
      <w:r>
        <w:rPr>
          <w:rFonts w:hint="eastAsia" w:ascii="Times New Roman" w:hAnsi="Times New Roman" w:eastAsia="方正仿宋_GB2312" w:cs="Times New Roman"/>
          <w:b w:val="0"/>
          <w:bCs w:val="0"/>
          <w:color w:val="auto"/>
        </w:rPr>
        <w:t xml:space="preserve"> 工作人员进入临时隔离点、检验检疫场地，应经过更衣、穿戴防护装备、缓冲等房间，卫生通过区功能用房应自然通风或机械通风；</w:t>
      </w:r>
    </w:p>
    <w:p w14:paraId="5D2B8BC1">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w:t>
      </w:r>
      <w:r>
        <w:rPr>
          <w:rFonts w:ascii="Times New Roman" w:hAnsi="Times New Roman" w:eastAsia="方正仿宋_GB2312" w:cs="Times New Roman"/>
          <w:b w:val="0"/>
          <w:bCs w:val="0"/>
          <w:color w:val="auto"/>
        </w:rPr>
        <w:t>.2.3.3</w:t>
      </w:r>
      <w:r>
        <w:rPr>
          <w:rFonts w:hint="eastAsia" w:ascii="Times New Roman" w:hAnsi="Times New Roman" w:eastAsia="方正仿宋_GB2312" w:cs="Times New Roman"/>
          <w:b w:val="0"/>
          <w:bCs w:val="0"/>
          <w:color w:val="auto"/>
        </w:rPr>
        <w:t xml:space="preserve"> 工作人员经由临时隔离点、检验检疫场地返回工作准备区，应经过一脱、二脱</w:t>
      </w:r>
      <w:r>
        <w:rPr>
          <w:rFonts w:ascii="Times New Roman" w:hAnsi="Times New Roman" w:eastAsia="方正仿宋_GB2312" w:cs="Times New Roman"/>
          <w:b w:val="0"/>
          <w:bCs w:val="0"/>
          <w:color w:val="auto"/>
        </w:rPr>
        <w:t>、</w:t>
      </w:r>
      <w:r>
        <w:rPr>
          <w:rFonts w:hint="eastAsia" w:ascii="Times New Roman" w:hAnsi="Times New Roman" w:eastAsia="方正仿宋_GB2312" w:cs="Times New Roman"/>
          <w:b w:val="0"/>
          <w:bCs w:val="0"/>
          <w:color w:val="auto"/>
        </w:rPr>
        <w:t>缓冲等房间，设立单向作业流程；</w:t>
      </w:r>
    </w:p>
    <w:p w14:paraId="6A9D6159">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w:t>
      </w:r>
      <w:r>
        <w:rPr>
          <w:rFonts w:ascii="Times New Roman" w:hAnsi="Times New Roman" w:eastAsia="方正仿宋_GB2312" w:cs="Times New Roman"/>
          <w:b w:val="0"/>
          <w:bCs w:val="0"/>
          <w:color w:val="auto"/>
        </w:rPr>
        <w:t>.2.3.4</w:t>
      </w:r>
      <w:r>
        <w:rPr>
          <w:rFonts w:hint="eastAsia" w:ascii="Times New Roman" w:hAnsi="Times New Roman" w:eastAsia="方正仿宋_GB2312" w:cs="Times New Roman"/>
          <w:b w:val="0"/>
          <w:bCs w:val="0"/>
          <w:color w:val="auto"/>
        </w:rPr>
        <w:t xml:space="preserve"> 二脱区域宜增加设置 1 个应急职业暴露处置间；</w:t>
      </w:r>
    </w:p>
    <w:p w14:paraId="32AC854D">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w:t>
      </w:r>
      <w:r>
        <w:rPr>
          <w:rFonts w:ascii="Times New Roman" w:hAnsi="Times New Roman" w:eastAsia="方正仿宋_GB2312" w:cs="Times New Roman"/>
          <w:b w:val="0"/>
          <w:bCs w:val="0"/>
          <w:color w:val="auto"/>
        </w:rPr>
        <w:t>.2.3.5</w:t>
      </w:r>
      <w:r>
        <w:rPr>
          <w:rFonts w:hint="eastAsia" w:ascii="Times New Roman" w:hAnsi="Times New Roman" w:eastAsia="方正仿宋_GB2312" w:cs="Times New Roman"/>
          <w:b w:val="0"/>
          <w:bCs w:val="0"/>
          <w:color w:val="auto"/>
        </w:rPr>
        <w:t xml:space="preserve"> 物品运送车辆由临时隔离点、检验检疫场地返回工作准备区时，应经过洗消、缓冲等区域。</w:t>
      </w:r>
    </w:p>
    <w:p w14:paraId="1F829904">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6.2.4 卫生通过区可采用一次建成或预留场地一体化安装。</w:t>
      </w:r>
    </w:p>
    <w:p w14:paraId="7034F136">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6.2.5 封闭的卫生通过区的通道门应具有开启互锁功能。</w:t>
      </w:r>
    </w:p>
    <w:p w14:paraId="3A169EC0">
      <w:pPr>
        <w:pStyle w:val="4"/>
        <w:keepNext w:val="0"/>
        <w:keepLines w:val="0"/>
        <w:widowControl/>
        <w:topLinePunct/>
        <w:adjustRightInd w:val="0"/>
        <w:spacing w:before="280" w:after="280" w:line="360" w:lineRule="auto"/>
        <w:contextualSpacing/>
        <w:jc w:val="center"/>
        <w:textAlignment w:val="baseline"/>
        <w:rPr>
          <w:rFonts w:ascii="黑体" w:hAnsi="黑体" w:eastAsia="黑体" w:cs="黑体"/>
          <w:b w:val="0"/>
          <w:snapToGrid w:val="0"/>
          <w:kern w:val="0"/>
          <w:lang w:eastAsia="en-US"/>
        </w:rPr>
      </w:pPr>
      <w:bookmarkStart w:id="32" w:name="_Toc215675809"/>
      <w:r>
        <w:rPr>
          <w:rFonts w:hint="eastAsia" w:ascii="黑体" w:hAnsi="黑体" w:eastAsia="黑体" w:cs="黑体"/>
          <w:b w:val="0"/>
          <w:snapToGrid w:val="0"/>
          <w:kern w:val="0"/>
          <w:lang w:eastAsia="en-US"/>
        </w:rPr>
        <w:t xml:space="preserve">6.3 </w:t>
      </w:r>
      <w:r>
        <w:rPr>
          <w:rFonts w:ascii="黑体" w:hAnsi="黑体" w:eastAsia="黑体" w:cs="黑体"/>
          <w:b w:val="0"/>
          <w:snapToGrid w:val="0"/>
          <w:kern w:val="0"/>
          <w:lang w:eastAsia="en-US"/>
        </w:rPr>
        <w:t xml:space="preserve"> </w:t>
      </w:r>
      <w:r>
        <w:rPr>
          <w:rFonts w:hint="eastAsia" w:ascii="黑体" w:hAnsi="黑体" w:eastAsia="黑体" w:cs="黑体"/>
          <w:b w:val="0"/>
          <w:snapToGrid w:val="0"/>
          <w:kern w:val="0"/>
          <w:lang w:eastAsia="en-US"/>
        </w:rPr>
        <w:t>内区</w:t>
      </w:r>
      <w:bookmarkEnd w:id="32"/>
    </w:p>
    <w:p w14:paraId="10D50897">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6.3.1 内区应自成一区，并设独立出入口。</w:t>
      </w:r>
    </w:p>
    <w:p w14:paraId="57B73E5A">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6.3.2 内区应设置货车停放、物资装卸、存储、分拣配送的物流场地及本地人员工作、休息区及生活配套设施。</w:t>
      </w:r>
    </w:p>
    <w:p w14:paraId="2BDFF70F">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6.3.3 内区仓储宜设置高标准仓库、自动化立体库、自动分拣等设施，并完善流通加工、统仓共配等功能。</w:t>
      </w:r>
    </w:p>
    <w:p w14:paraId="4A15D7A9">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6.3.4 内区仓储货物应分批次分区堆放，防疫物资场所应自成一区，并与其他货物保持一定的防护距离。</w:t>
      </w:r>
    </w:p>
    <w:p w14:paraId="42FF46BC">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6</w:t>
      </w:r>
      <w:r>
        <w:rPr>
          <w:rFonts w:hint="eastAsia" w:ascii="Times New Roman" w:hAnsi="Times New Roman" w:eastAsia="方正仿宋_GB2312" w:cs="Times New Roman"/>
          <w:b w:val="0"/>
          <w:bCs w:val="0"/>
          <w:color w:val="auto"/>
        </w:rPr>
        <w:t>.3.5</w:t>
      </w:r>
      <w:r>
        <w:rPr>
          <w:rFonts w:ascii="Times New Roman" w:hAnsi="Times New Roman" w:eastAsia="方正仿宋_GB2312" w:cs="Times New Roman"/>
          <w:b w:val="0"/>
          <w:bCs w:val="0"/>
          <w:color w:val="auto"/>
        </w:rPr>
        <w:t xml:space="preserve"> </w:t>
      </w:r>
      <w:r>
        <w:rPr>
          <w:rFonts w:hint="eastAsia" w:ascii="Times New Roman" w:hAnsi="Times New Roman" w:eastAsia="方正仿宋_GB2312" w:cs="Times New Roman"/>
          <w:b w:val="0"/>
          <w:bCs w:val="0"/>
          <w:color w:val="auto"/>
        </w:rPr>
        <w:t>装卸车辆的充电间(区)应独立设置，不应靠近有潜在火灾或爆炸危险区域，与区内建筑之间的防火间距应符合《建筑设计防火规范》GB50</w:t>
      </w:r>
      <w:r>
        <w:rPr>
          <w:rFonts w:ascii="Times New Roman" w:hAnsi="Times New Roman" w:eastAsia="方正仿宋_GB2312" w:cs="Times New Roman"/>
          <w:b w:val="0"/>
          <w:bCs w:val="0"/>
          <w:color w:val="auto"/>
        </w:rPr>
        <w:t>016</w:t>
      </w:r>
      <w:r>
        <w:rPr>
          <w:rFonts w:hint="eastAsia" w:ascii="Times New Roman" w:hAnsi="Times New Roman" w:eastAsia="方正仿宋_GB2312" w:cs="Times New Roman"/>
          <w:b w:val="0"/>
          <w:bCs w:val="0"/>
          <w:color w:val="auto"/>
        </w:rPr>
        <w:t>的有关规定。</w:t>
      </w:r>
    </w:p>
    <w:p w14:paraId="56497A0E">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6.3.</w:t>
      </w:r>
      <w:r>
        <w:rPr>
          <w:rFonts w:ascii="Times New Roman" w:hAnsi="Times New Roman" w:eastAsia="方正仿宋_GB2312" w:cs="Times New Roman"/>
          <w:b w:val="0"/>
          <w:bCs w:val="0"/>
          <w:color w:val="auto"/>
        </w:rPr>
        <w:t>6</w:t>
      </w:r>
      <w:r>
        <w:rPr>
          <w:rFonts w:hint="eastAsia" w:ascii="Times New Roman" w:hAnsi="Times New Roman" w:eastAsia="方正仿宋_GB2312" w:cs="Times New Roman"/>
          <w:b w:val="0"/>
          <w:bCs w:val="0"/>
          <w:color w:val="auto"/>
        </w:rPr>
        <w:t xml:space="preserve"> 应急物资装卸、存储、分拣配送宜采用“智能化无人操作”技术措施。</w:t>
      </w:r>
    </w:p>
    <w:p w14:paraId="5BDC4A2B">
      <w:pPr>
        <w:pStyle w:val="4"/>
        <w:keepNext w:val="0"/>
        <w:keepLines w:val="0"/>
        <w:widowControl/>
        <w:topLinePunct/>
        <w:adjustRightInd w:val="0"/>
        <w:spacing w:before="280" w:after="280" w:line="360" w:lineRule="auto"/>
        <w:contextualSpacing/>
        <w:jc w:val="center"/>
        <w:textAlignment w:val="baseline"/>
        <w:rPr>
          <w:rFonts w:ascii="黑体" w:hAnsi="黑体" w:eastAsia="黑体" w:cs="黑体"/>
          <w:b w:val="0"/>
          <w:snapToGrid w:val="0"/>
          <w:kern w:val="0"/>
          <w:lang w:eastAsia="en-US"/>
        </w:rPr>
      </w:pPr>
      <w:bookmarkStart w:id="33" w:name="_Toc215675810"/>
      <w:r>
        <w:rPr>
          <w:rFonts w:hint="eastAsia" w:ascii="黑体" w:hAnsi="黑体" w:eastAsia="黑体" w:cs="黑体"/>
          <w:b w:val="0"/>
          <w:snapToGrid w:val="0"/>
          <w:kern w:val="0"/>
          <w:lang w:eastAsia="en-US"/>
        </w:rPr>
        <w:t xml:space="preserve">6.4 </w:t>
      </w:r>
      <w:r>
        <w:rPr>
          <w:rFonts w:ascii="黑体" w:hAnsi="黑体" w:eastAsia="黑体" w:cs="黑体"/>
          <w:b w:val="0"/>
          <w:snapToGrid w:val="0"/>
          <w:kern w:val="0"/>
          <w:lang w:eastAsia="en-US"/>
        </w:rPr>
        <w:t xml:space="preserve"> </w:t>
      </w:r>
      <w:r>
        <w:rPr>
          <w:rFonts w:hint="eastAsia" w:ascii="黑体" w:hAnsi="黑体" w:eastAsia="黑体" w:cs="黑体"/>
          <w:b w:val="0"/>
          <w:snapToGrid w:val="0"/>
          <w:kern w:val="0"/>
          <w:lang w:eastAsia="en-US"/>
        </w:rPr>
        <w:t>其他</w:t>
      </w:r>
      <w:bookmarkEnd w:id="33"/>
    </w:p>
    <w:p w14:paraId="2D1640B8">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6.</w:t>
      </w:r>
      <w:r>
        <w:rPr>
          <w:rFonts w:hint="eastAsia" w:ascii="Times New Roman" w:hAnsi="Times New Roman" w:eastAsia="方正仿宋_GB2312" w:cs="Times New Roman"/>
          <w:b w:val="0"/>
          <w:bCs w:val="0"/>
          <w:color w:val="auto"/>
        </w:rPr>
        <w:t>4</w:t>
      </w:r>
      <w:r>
        <w:rPr>
          <w:rFonts w:ascii="Times New Roman" w:hAnsi="Times New Roman" w:eastAsia="方正仿宋_GB2312" w:cs="Times New Roman"/>
          <w:b w:val="0"/>
          <w:bCs w:val="0"/>
          <w:color w:val="auto"/>
        </w:rPr>
        <w:t>.1</w:t>
      </w:r>
      <w:r>
        <w:rPr>
          <w:rFonts w:hint="eastAsia" w:ascii="Times New Roman" w:hAnsi="Times New Roman" w:eastAsia="方正仿宋_GB2312" w:cs="Times New Roman"/>
          <w:b w:val="0"/>
          <w:bCs w:val="0"/>
          <w:color w:val="auto"/>
        </w:rPr>
        <w:t>有气密性要求的房间、区域边界隔墙应砌筑到梁底或楼板底，“急时”转换设置的上述隔墙应采取措施封堵至梁底或楼板底，保证房间、区域气密性要求。</w:t>
      </w:r>
    </w:p>
    <w:p w14:paraId="0988AA6D">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6.</w:t>
      </w:r>
      <w:r>
        <w:rPr>
          <w:rFonts w:hint="eastAsia" w:ascii="Times New Roman" w:hAnsi="Times New Roman" w:eastAsia="方正仿宋_GB2312" w:cs="Times New Roman"/>
          <w:b w:val="0"/>
          <w:bCs w:val="0"/>
          <w:color w:val="auto"/>
        </w:rPr>
        <w:t>4</w:t>
      </w:r>
      <w:r>
        <w:rPr>
          <w:rFonts w:ascii="Times New Roman" w:hAnsi="Times New Roman" w:eastAsia="方正仿宋_GB2312" w:cs="Times New Roman"/>
          <w:b w:val="0"/>
          <w:bCs w:val="0"/>
          <w:color w:val="auto"/>
        </w:rPr>
        <w:t xml:space="preserve">.2 </w:t>
      </w:r>
      <w:r>
        <w:rPr>
          <w:rFonts w:hint="eastAsia" w:ascii="Times New Roman" w:hAnsi="Times New Roman" w:eastAsia="方正仿宋_GB2312" w:cs="Times New Roman"/>
          <w:b w:val="0"/>
          <w:bCs w:val="0"/>
          <w:color w:val="auto"/>
        </w:rPr>
        <w:t>穿越有气密性要求隔墙的管线周边缝隙及槽口、管口应采用气密性材料封堵。</w:t>
      </w:r>
    </w:p>
    <w:p w14:paraId="5AFED304">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6.</w:t>
      </w:r>
      <w:r>
        <w:rPr>
          <w:rFonts w:hint="eastAsia" w:ascii="Times New Roman" w:hAnsi="Times New Roman" w:eastAsia="方正仿宋_GB2312" w:cs="Times New Roman"/>
          <w:b w:val="0"/>
          <w:bCs w:val="0"/>
          <w:color w:val="auto"/>
        </w:rPr>
        <w:t>4</w:t>
      </w:r>
      <w:r>
        <w:rPr>
          <w:rFonts w:ascii="Times New Roman" w:hAnsi="Times New Roman" w:eastAsia="方正仿宋_GB2312" w:cs="Times New Roman"/>
          <w:b w:val="0"/>
          <w:bCs w:val="0"/>
          <w:color w:val="auto"/>
        </w:rPr>
        <w:t>.</w:t>
      </w:r>
      <w:r>
        <w:rPr>
          <w:rFonts w:hint="eastAsia" w:ascii="Times New Roman" w:hAnsi="Times New Roman" w:eastAsia="方正仿宋_GB2312" w:cs="Times New Roman"/>
          <w:b w:val="0"/>
          <w:bCs w:val="0"/>
          <w:color w:val="auto"/>
        </w:rPr>
        <w:t xml:space="preserve">3 </w:t>
      </w:r>
      <w:r>
        <w:rPr>
          <w:rFonts w:ascii="Times New Roman" w:hAnsi="Times New Roman" w:eastAsia="方正仿宋_GB2312" w:cs="Times New Roman"/>
          <w:b w:val="0"/>
          <w:bCs w:val="0"/>
          <w:color w:val="auto"/>
        </w:rPr>
        <w:t>“急时”地面不宜采用不易清洗、易燃的毛织、地毯等产品。</w:t>
      </w:r>
    </w:p>
    <w:p w14:paraId="6F23DE33">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6.4.4 建筑立面及室内各部位的色彩宜简洁明快，除有警示或其他提示外，不宜采用对环境和人员产生强烈刺激的色彩。</w:t>
      </w:r>
    </w:p>
    <w:p w14:paraId="0DD0D5A0">
      <w:pPr>
        <w:rPr>
          <w:rFonts w:ascii="宋体" w:hAnsi="宋体" w:eastAsia="宋体" w:cs="宋体"/>
          <w:sz w:val="28"/>
          <w:szCs w:val="28"/>
        </w:rPr>
      </w:pPr>
      <w:r>
        <w:rPr>
          <w:rFonts w:ascii="宋体" w:hAnsi="宋体" w:eastAsia="宋体" w:cs="宋体"/>
          <w:sz w:val="28"/>
          <w:szCs w:val="28"/>
        </w:rPr>
        <w:br w:type="page"/>
      </w:r>
    </w:p>
    <w:p w14:paraId="4417368E">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cs="Times New Roman"/>
          <w:b w:val="0"/>
          <w:snapToGrid w:val="0"/>
          <w:kern w:val="0"/>
          <w:sz w:val="40"/>
          <w:szCs w:val="40"/>
          <w:lang w:eastAsia="en-US"/>
        </w:rPr>
      </w:pPr>
      <w:bookmarkStart w:id="34" w:name="_Toc215675811"/>
      <w:r>
        <w:rPr>
          <w:rFonts w:hint="eastAsia" w:ascii="Times New Roman" w:hAnsi="Times New Roman" w:eastAsia="黑体" w:cs="Times New Roman"/>
          <w:b w:val="0"/>
          <w:snapToGrid w:val="0"/>
          <w:kern w:val="0"/>
          <w:sz w:val="40"/>
          <w:szCs w:val="40"/>
          <w:lang w:eastAsia="en-US"/>
        </w:rPr>
        <w:t xml:space="preserve">7 </w:t>
      </w:r>
      <w:r>
        <w:rPr>
          <w:rFonts w:ascii="Times New Roman" w:hAnsi="Times New Roman" w:eastAsia="黑体" w:cs="Times New Roman"/>
          <w:b w:val="0"/>
          <w:snapToGrid w:val="0"/>
          <w:kern w:val="0"/>
          <w:sz w:val="40"/>
          <w:szCs w:val="40"/>
          <w:lang w:eastAsia="en-US"/>
        </w:rPr>
        <w:t xml:space="preserve"> </w:t>
      </w:r>
      <w:r>
        <w:rPr>
          <w:rFonts w:hint="eastAsia" w:ascii="Times New Roman" w:hAnsi="Times New Roman" w:eastAsia="黑体" w:cs="Times New Roman"/>
          <w:b w:val="0"/>
          <w:snapToGrid w:val="0"/>
          <w:kern w:val="0"/>
          <w:sz w:val="40"/>
          <w:szCs w:val="40"/>
          <w:lang w:eastAsia="en-US"/>
        </w:rPr>
        <w:t>结</w:t>
      </w:r>
      <w:r>
        <w:rPr>
          <w:rFonts w:hint="eastAsia" w:ascii="Times New Roman" w:hAnsi="Times New Roman" w:eastAsia="黑体" w:cs="Times New Roman"/>
          <w:b w:val="0"/>
          <w:snapToGrid w:val="0"/>
          <w:kern w:val="0"/>
          <w:sz w:val="40"/>
          <w:szCs w:val="40"/>
        </w:rPr>
        <w:t>构</w:t>
      </w:r>
      <w:bookmarkEnd w:id="34"/>
    </w:p>
    <w:p w14:paraId="4E10408A">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cs="Times New Roman"/>
          <w:b w:val="0"/>
          <w:snapToGrid w:val="0"/>
          <w:kern w:val="0"/>
          <w:sz w:val="40"/>
          <w:szCs w:val="40"/>
          <w:lang w:eastAsia="en-US"/>
        </w:rPr>
      </w:pPr>
    </w:p>
    <w:p w14:paraId="6088CB44">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7.0.1 “平急两用”城郊大仓基地“平时”和“急时”的安全等级、抗震设防分类等应同时满足现行国家及地方标准要求。</w:t>
      </w:r>
    </w:p>
    <w:p w14:paraId="7AEAE76F">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 xml:space="preserve">7.0.2 </w:t>
      </w:r>
      <w:r>
        <w:rPr>
          <w:rFonts w:ascii="Times New Roman" w:hAnsi="Times New Roman" w:eastAsia="方正仿宋_GB2312" w:cs="Times New Roman"/>
          <w:b w:val="0"/>
          <w:bCs w:val="0"/>
          <w:color w:val="auto"/>
        </w:rPr>
        <w:t>“平急两用”城郊大仓基地采用既有建筑时，应根据转换前后功能的要求，对建筑物的整体安全性进行检测评估。当存在无法满足改造要求的安全隐患时，该建筑不应作为“平急两用”城郊大仓基地。</w:t>
      </w:r>
    </w:p>
    <w:p w14:paraId="20BD9792">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7.0.3 既有建筑改造为“平急两用”城郊大仓基地，应选择结构状况良好的建筑，并遵循先检测、鉴定，后加固设计、施工与验收的流程。</w:t>
      </w:r>
    </w:p>
    <w:p w14:paraId="246C7476">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7.0.4 既有建筑改造为“平急两用”城郊大仓基地,尽量不改变原结构的受力体系和构件受力状态，较重的设备宜布置在建筑底层，避免或减少对主体结构进行加固。</w:t>
      </w:r>
    </w:p>
    <w:p w14:paraId="6FBCA416">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7.0.5 “急时”新增结构宜与原结构脱开，建筑基础</w:t>
      </w:r>
      <w:r>
        <w:rPr>
          <w:rFonts w:ascii="Times New Roman" w:hAnsi="Times New Roman" w:eastAsia="方正仿宋_GB2312" w:cs="Times New Roman"/>
          <w:b w:val="0"/>
          <w:bCs w:val="0"/>
          <w:color w:val="auto"/>
        </w:rPr>
        <w:t>宜采用天然基础，不应对原建筑结构安全造成影响。</w:t>
      </w:r>
    </w:p>
    <w:p w14:paraId="32EFDC4D">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 xml:space="preserve">7.0.6 </w:t>
      </w:r>
      <w:r>
        <w:rPr>
          <w:rFonts w:ascii="Times New Roman" w:hAnsi="Times New Roman" w:eastAsia="方正仿宋_GB2312" w:cs="Times New Roman"/>
          <w:b w:val="0"/>
          <w:bCs w:val="0"/>
          <w:color w:val="auto"/>
        </w:rPr>
        <w:t>应按“平时”和“急时”两种使用功能确定荷载取值，并进行包络设计，充分考虑应急状态下功能转换对楼面结构荷载的要求，尽量减少平急转换中的结构主体改造</w:t>
      </w:r>
      <w:r>
        <w:rPr>
          <w:rFonts w:hint="eastAsia" w:ascii="Times New Roman" w:hAnsi="Times New Roman" w:eastAsia="方正仿宋_GB2312" w:cs="Times New Roman"/>
          <w:b w:val="0"/>
          <w:bCs w:val="0"/>
          <w:color w:val="auto"/>
        </w:rPr>
        <w:t>。</w:t>
      </w:r>
    </w:p>
    <w:p w14:paraId="36E336A3">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7.0.7 “急时”新增结构</w:t>
      </w:r>
      <w:r>
        <w:rPr>
          <w:rFonts w:ascii="Times New Roman" w:hAnsi="Times New Roman" w:eastAsia="方正仿宋_GB2312" w:cs="Times New Roman"/>
          <w:b w:val="0"/>
          <w:bCs w:val="0"/>
          <w:color w:val="auto"/>
        </w:rPr>
        <w:t>宜采用集装箱式模块化钢结构、钢框架、钢排架、门式刚架等轻型钢结构，方便快速加工、运输和安装；结构布置宜标准化、模块化。</w:t>
      </w:r>
    </w:p>
    <w:p w14:paraId="1FFFCBED">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7.0.</w:t>
      </w:r>
      <w:r>
        <w:rPr>
          <w:rFonts w:ascii="Times New Roman" w:hAnsi="Times New Roman" w:eastAsia="方正仿宋_GB2312" w:cs="Times New Roman"/>
          <w:b w:val="0"/>
          <w:bCs w:val="0"/>
          <w:color w:val="auto"/>
        </w:rPr>
        <w:t>8</w:t>
      </w:r>
      <w:r>
        <w:rPr>
          <w:rFonts w:hint="eastAsia" w:ascii="Times New Roman" w:hAnsi="Times New Roman" w:eastAsia="方正仿宋_GB2312" w:cs="Times New Roman"/>
          <w:b w:val="0"/>
          <w:bCs w:val="0"/>
          <w:color w:val="auto"/>
        </w:rPr>
        <w:t xml:space="preserve"> “急时”重型设备运输通道相关范围内的结构不满足设计要求时，应增设临时支撑设施。</w:t>
      </w:r>
    </w:p>
    <w:p w14:paraId="3C32027A">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7.0.</w:t>
      </w:r>
      <w:r>
        <w:rPr>
          <w:rFonts w:ascii="Times New Roman" w:hAnsi="Times New Roman" w:eastAsia="方正仿宋_GB2312" w:cs="Times New Roman"/>
          <w:b w:val="0"/>
          <w:bCs w:val="0"/>
          <w:color w:val="auto"/>
        </w:rPr>
        <w:t xml:space="preserve">9 </w:t>
      </w:r>
      <w:r>
        <w:rPr>
          <w:rFonts w:hint="eastAsia" w:ascii="Times New Roman" w:hAnsi="Times New Roman" w:eastAsia="方正仿宋_GB2312" w:cs="Times New Roman"/>
          <w:b w:val="0"/>
          <w:bCs w:val="0"/>
          <w:color w:val="auto"/>
        </w:rPr>
        <w:t>“急时”要搭建和安装的临时设施</w:t>
      </w:r>
      <w:r>
        <w:rPr>
          <w:rFonts w:ascii="Times New Roman" w:hAnsi="Times New Roman" w:eastAsia="方正仿宋_GB2312" w:cs="Times New Roman"/>
          <w:b w:val="0"/>
          <w:bCs w:val="0"/>
          <w:color w:val="auto"/>
        </w:rPr>
        <w:t>宜建在有硬化地坪的室外停车场上；或进行临时硬化，硬化层的厚度不宜小于200mm，混凝土的强度等级不宜小于C25，配置双向双层钢筋配筋率不小于0.15%。</w:t>
      </w:r>
      <w:r>
        <w:rPr>
          <w:rFonts w:hint="eastAsia" w:ascii="Times New Roman" w:hAnsi="Times New Roman" w:eastAsia="方正仿宋_GB2312" w:cs="Times New Roman"/>
          <w:b w:val="0"/>
          <w:bCs w:val="0"/>
          <w:color w:val="auto"/>
        </w:rPr>
        <w:t>周边场地内可配合机电专业预埋必要的管道沟、井。</w:t>
      </w:r>
    </w:p>
    <w:p w14:paraId="13EA7B88">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7.0.1</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 xml:space="preserve"> “急时”可能受到污染的埋地检查井、预消毒池、消毒池、化粪池、污水池等的混凝土抗渗等级不应低于P8，最大裂缝宽度不宜大于0.2mm。</w:t>
      </w:r>
    </w:p>
    <w:p w14:paraId="2591C801">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7.0.1</w:t>
      </w:r>
      <w:r>
        <w:rPr>
          <w:rFonts w:ascii="Times New Roman" w:hAnsi="Times New Roman" w:eastAsia="方正仿宋_GB2312" w:cs="Times New Roman"/>
          <w:b w:val="0"/>
          <w:bCs w:val="0"/>
          <w:color w:val="auto"/>
        </w:rPr>
        <w:t>1</w:t>
      </w:r>
      <w:r>
        <w:rPr>
          <w:rFonts w:hint="eastAsia" w:ascii="Times New Roman" w:hAnsi="Times New Roman" w:eastAsia="方正仿宋_GB2312" w:cs="Times New Roman"/>
          <w:b w:val="0"/>
          <w:bCs w:val="0"/>
          <w:color w:val="auto"/>
        </w:rPr>
        <w:t xml:space="preserve"> 平急转换改造应遵循安全可靠、转换便捷、易于恢复的原则。</w:t>
      </w:r>
    </w:p>
    <w:p w14:paraId="64B29FA9">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7.0.1</w:t>
      </w:r>
      <w:r>
        <w:rPr>
          <w:rFonts w:ascii="Times New Roman" w:hAnsi="Times New Roman" w:eastAsia="方正仿宋_GB2312" w:cs="Times New Roman"/>
          <w:b w:val="0"/>
          <w:bCs w:val="0"/>
          <w:color w:val="auto"/>
        </w:rPr>
        <w:t>2</w:t>
      </w:r>
      <w:r>
        <w:rPr>
          <w:rFonts w:hint="eastAsia" w:ascii="Times New Roman" w:hAnsi="Times New Roman" w:eastAsia="方正仿宋_GB2312" w:cs="Times New Roman"/>
          <w:b w:val="0"/>
          <w:bCs w:val="0"/>
          <w:color w:val="auto"/>
        </w:rPr>
        <w:t xml:space="preserve"> 平急转换改造应采用方便加工、运输、可快速拼装和拆卸的结构构件，减少或避免转换过程中的湿作业施工。</w:t>
      </w:r>
    </w:p>
    <w:p w14:paraId="33B9DA2B">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7.0.1</w:t>
      </w:r>
      <w:r>
        <w:rPr>
          <w:rFonts w:ascii="Times New Roman" w:hAnsi="Times New Roman" w:eastAsia="方正仿宋_GB2312" w:cs="Times New Roman"/>
          <w:b w:val="0"/>
          <w:bCs w:val="0"/>
          <w:color w:val="auto"/>
        </w:rPr>
        <w:t>3</w:t>
      </w:r>
      <w:r>
        <w:rPr>
          <w:rFonts w:hint="eastAsia" w:ascii="Times New Roman" w:hAnsi="Times New Roman" w:eastAsia="方正仿宋_GB2312" w:cs="Times New Roman"/>
          <w:b w:val="0"/>
          <w:bCs w:val="0"/>
          <w:color w:val="auto"/>
        </w:rPr>
        <w:t xml:space="preserve"> 平急转换改造新增的隔断应优先采用轻质隔断，其可变荷载考虑结构设计工作年限的荷载调整系数可取0.9；新增隔断应有可靠的节点连接方式和构造，节点连接方式宜便于现场拆装，连接构造应满足结构受力和变形要求。</w:t>
      </w:r>
    </w:p>
    <w:p w14:paraId="743A556C">
      <w:pPr>
        <w:spacing w:line="360" w:lineRule="auto"/>
        <w:rPr>
          <w:rFonts w:ascii="宋体" w:hAnsi="宋体" w:eastAsia="宋体"/>
          <w:sz w:val="28"/>
          <w:szCs w:val="28"/>
        </w:rPr>
      </w:pPr>
      <w:r>
        <w:rPr>
          <w:rFonts w:ascii="宋体" w:hAnsi="宋体" w:eastAsia="宋体"/>
          <w:sz w:val="28"/>
          <w:szCs w:val="28"/>
        </w:rPr>
        <w:br w:type="page"/>
      </w:r>
    </w:p>
    <w:p w14:paraId="12691C80">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cs="Times New Roman"/>
          <w:b w:val="0"/>
          <w:snapToGrid w:val="0"/>
          <w:kern w:val="0"/>
          <w:sz w:val="40"/>
          <w:szCs w:val="40"/>
          <w:lang w:eastAsia="en-US"/>
        </w:rPr>
      </w:pPr>
      <w:bookmarkStart w:id="35" w:name="_Toc215675812"/>
      <w:r>
        <w:rPr>
          <w:rFonts w:hint="eastAsia" w:ascii="Times New Roman" w:hAnsi="Times New Roman" w:eastAsia="黑体" w:cs="Times New Roman"/>
          <w:b w:val="0"/>
          <w:snapToGrid w:val="0"/>
          <w:kern w:val="0"/>
          <w:sz w:val="40"/>
          <w:szCs w:val="40"/>
          <w:lang w:eastAsia="en-US"/>
        </w:rPr>
        <w:t xml:space="preserve">8 </w:t>
      </w:r>
      <w:r>
        <w:rPr>
          <w:rFonts w:ascii="Times New Roman" w:hAnsi="Times New Roman" w:eastAsia="黑体" w:cs="Times New Roman"/>
          <w:b w:val="0"/>
          <w:snapToGrid w:val="0"/>
          <w:kern w:val="0"/>
          <w:sz w:val="40"/>
          <w:szCs w:val="40"/>
          <w:lang w:eastAsia="en-US"/>
        </w:rPr>
        <w:t xml:space="preserve"> </w:t>
      </w:r>
      <w:r>
        <w:rPr>
          <w:rFonts w:hint="eastAsia" w:ascii="Times New Roman" w:hAnsi="Times New Roman" w:eastAsia="黑体" w:cs="Times New Roman"/>
          <w:b w:val="0"/>
          <w:snapToGrid w:val="0"/>
          <w:kern w:val="0"/>
          <w:sz w:val="40"/>
          <w:szCs w:val="40"/>
          <w:lang w:eastAsia="en-US"/>
        </w:rPr>
        <w:t>给排</w:t>
      </w:r>
      <w:r>
        <w:rPr>
          <w:rFonts w:hint="eastAsia" w:ascii="Times New Roman" w:hAnsi="Times New Roman" w:eastAsia="黑体" w:cs="Times New Roman"/>
          <w:b w:val="0"/>
          <w:snapToGrid w:val="0"/>
          <w:kern w:val="0"/>
          <w:sz w:val="40"/>
          <w:szCs w:val="40"/>
        </w:rPr>
        <w:t>水</w:t>
      </w:r>
      <w:bookmarkEnd w:id="35"/>
    </w:p>
    <w:p w14:paraId="7BF36D7F">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cs="Times New Roman"/>
          <w:b w:val="0"/>
          <w:snapToGrid w:val="0"/>
          <w:kern w:val="0"/>
          <w:sz w:val="40"/>
          <w:szCs w:val="40"/>
          <w:lang w:eastAsia="en-US"/>
        </w:rPr>
      </w:pPr>
    </w:p>
    <w:p w14:paraId="6F0E7CE8">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8.0.1 “平急两用”生活给水水质应符合现行国家标准《生活饮用水水质卫生标准》GB5749的规定，并宜规划备用水源。</w:t>
      </w:r>
    </w:p>
    <w:p w14:paraId="19DAB643">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8.0.2 应预留储存应急期间水量及供水设备的条件。</w:t>
      </w:r>
    </w:p>
    <w:p w14:paraId="768EE40E">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8.0.3 给水系统宜按外区、内区和缓冲区分区设置，缓冲区、外区生</w:t>
      </w:r>
    </w:p>
    <w:p w14:paraId="62CFE45F">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活给水系统宜选用断流水箱加增压水泵的供水方式。</w:t>
      </w:r>
    </w:p>
    <w:p w14:paraId="5C78F0F1">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8.0.4 生活给水系统应采取有效防止回流污染的措施，当内区、缓冲</w:t>
      </w:r>
    </w:p>
    <w:p w14:paraId="26C044FD">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区、外区的给水系统无法独立设置时，接入缓冲区和外区的给水管道上应设置减压型倒流防止器，且倒流防止器应设在清洁区域。</w:t>
      </w:r>
    </w:p>
    <w:p w14:paraId="392365EB">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8.0.5 缓冲区和外区的卫生器具应采用非手动开关，并应采取防止污水外溅的措施。</w:t>
      </w:r>
    </w:p>
    <w:p w14:paraId="1E09B134">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8.0.6 排水管网、消毒和处理设施、提升泵站等均应实现在“急时”</w:t>
      </w:r>
    </w:p>
    <w:p w14:paraId="74DFE0A5">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状态下产生的污废水全收集、全处理、全过程控制。</w:t>
      </w:r>
    </w:p>
    <w:p w14:paraId="4BBA0217">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8.0.7场地内生活排水与雨水排水系统应采用分流制，并“三区”宜分别设置独立的排水管网；确有困难时同一性质传染病的缓冲区和外区管道可合并设置；不同性质传染病的缓冲区和外区管道应分别排至室外预消毒设施，进入消毒设施前不应合并或混接。</w:t>
      </w:r>
    </w:p>
    <w:p w14:paraId="39EF18C7">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8.0.8 排水系统应采取防止水封破坏的技术措施，并符合下列规定：</w:t>
      </w:r>
    </w:p>
    <w:p w14:paraId="24965DC4">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w:t>
      </w:r>
      <w:r>
        <w:rPr>
          <w:rFonts w:ascii="Times New Roman" w:hAnsi="Times New Roman" w:eastAsia="方正仿宋_GB2312" w:cs="Times New Roman"/>
          <w:b w:val="0"/>
          <w:bCs w:val="0"/>
          <w:color w:val="auto"/>
        </w:rPr>
        <w:t>.0.8.1</w:t>
      </w:r>
      <w:r>
        <w:rPr>
          <w:rFonts w:hint="eastAsia" w:ascii="Times New Roman" w:hAnsi="Times New Roman" w:eastAsia="方正仿宋_GB2312" w:cs="Times New Roman"/>
          <w:b w:val="0"/>
          <w:bCs w:val="0"/>
          <w:color w:val="auto"/>
        </w:rPr>
        <w:t>排水立管的最大设计排水能力取值不应大于现行国家标准《建筑给水排水设计标准》GB 50015 规定值的 0.7 倍；</w:t>
      </w:r>
    </w:p>
    <w:p w14:paraId="3797E904">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w:t>
      </w:r>
      <w:r>
        <w:rPr>
          <w:rFonts w:ascii="Times New Roman" w:hAnsi="Times New Roman" w:eastAsia="方正仿宋_GB2312" w:cs="Times New Roman"/>
          <w:b w:val="0"/>
          <w:bCs w:val="0"/>
          <w:color w:val="auto"/>
        </w:rPr>
        <w:t>.0.8.2</w:t>
      </w:r>
      <w:r>
        <w:rPr>
          <w:rFonts w:hint="eastAsia" w:ascii="Times New Roman" w:hAnsi="Times New Roman" w:eastAsia="方正仿宋_GB2312" w:cs="Times New Roman"/>
          <w:b w:val="0"/>
          <w:bCs w:val="0"/>
          <w:color w:val="auto"/>
        </w:rPr>
        <w:t xml:space="preserve"> 地漏宜采用无水封地漏加P型存水弯，宜采用洗手盆排水给地漏水封补水的措施；不经常排水部位的排水管道及附件，应采取防止水封干涸的措施；</w:t>
      </w:r>
    </w:p>
    <w:p w14:paraId="59D31CDD">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w:t>
      </w:r>
      <w:r>
        <w:rPr>
          <w:rFonts w:ascii="Times New Roman" w:hAnsi="Times New Roman" w:eastAsia="方正仿宋_GB2312" w:cs="Times New Roman"/>
          <w:b w:val="0"/>
          <w:bCs w:val="0"/>
          <w:color w:val="auto"/>
        </w:rPr>
        <w:t>.0.8.3</w:t>
      </w:r>
      <w:r>
        <w:rPr>
          <w:rFonts w:hint="eastAsia" w:ascii="Times New Roman" w:hAnsi="Times New Roman" w:eastAsia="方正仿宋_GB2312" w:cs="Times New Roman"/>
          <w:b w:val="0"/>
          <w:bCs w:val="0"/>
          <w:color w:val="auto"/>
        </w:rPr>
        <w:t>存水弯水封高度不得小于50mm,且不得大于100mm，不应重复设置水封。</w:t>
      </w:r>
    </w:p>
    <w:p w14:paraId="13071F08">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8.0.9 外区、缓冲区的卫生排水系统通气管应单独设置，通气管出口</w:t>
      </w:r>
    </w:p>
    <w:p w14:paraId="133E3A18">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应预留安装消毒设施的条件。</w:t>
      </w:r>
    </w:p>
    <w:p w14:paraId="5547696F">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8.0.10 外区、缓冲区的室外污水排水管道在接入预消毒池之前应以全密闭方式敷设。</w:t>
      </w:r>
    </w:p>
    <w:p w14:paraId="2FA4A270">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8.0.11 “急时”应在车辆出入口设冲洗和消毒设施，冲洗和消毒废水应排入污水系统。</w:t>
      </w:r>
    </w:p>
    <w:p w14:paraId="59F877BB">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8.0.12 污水处理应采取平急结合的方式，保证安全可靠，经济合理。</w:t>
      </w:r>
    </w:p>
    <w:p w14:paraId="2C1620FE">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“急时”污水处理设施应采用强化消毒处理工艺，并符合下列规定：</w:t>
      </w:r>
    </w:p>
    <w:p w14:paraId="67FC84DE">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w:t>
      </w:r>
      <w:r>
        <w:rPr>
          <w:rFonts w:ascii="Times New Roman" w:hAnsi="Times New Roman" w:eastAsia="方正仿宋_GB2312" w:cs="Times New Roman"/>
          <w:b w:val="0"/>
          <w:bCs w:val="0"/>
          <w:color w:val="auto"/>
        </w:rPr>
        <w:t>.0.12.1</w:t>
      </w:r>
      <w:r>
        <w:rPr>
          <w:rFonts w:hint="eastAsia" w:ascii="Times New Roman" w:hAnsi="Times New Roman" w:eastAsia="方正仿宋_GB2312" w:cs="Times New Roman"/>
          <w:b w:val="0"/>
          <w:bCs w:val="0"/>
          <w:color w:val="auto"/>
        </w:rPr>
        <w:t xml:space="preserve"> 污水处理应在化粪池前设置预消毒工艺，预消毒池水力停留时间不应小于 1h；污水处理设施的二级消毒池水力停留时间不应小于 2h；</w:t>
      </w:r>
    </w:p>
    <w:p w14:paraId="5D821542">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w:t>
      </w:r>
      <w:r>
        <w:rPr>
          <w:rFonts w:ascii="Times New Roman" w:hAnsi="Times New Roman" w:eastAsia="方正仿宋_GB2312" w:cs="Times New Roman"/>
          <w:b w:val="0"/>
          <w:bCs w:val="0"/>
          <w:color w:val="auto"/>
        </w:rPr>
        <w:t>.0.12.2</w:t>
      </w:r>
      <w:r>
        <w:rPr>
          <w:rFonts w:hint="eastAsia" w:ascii="Times New Roman" w:hAnsi="Times New Roman" w:eastAsia="方正仿宋_GB2312" w:cs="Times New Roman"/>
          <w:b w:val="0"/>
          <w:bCs w:val="0"/>
          <w:color w:val="auto"/>
        </w:rPr>
        <w:t xml:space="preserve"> 污水处理从预消毒池至二级消毒池的水力停留总时间不应小于48h；</w:t>
      </w:r>
    </w:p>
    <w:p w14:paraId="6276724C">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w:t>
      </w:r>
      <w:r>
        <w:rPr>
          <w:rFonts w:ascii="Times New Roman" w:hAnsi="Times New Roman" w:eastAsia="方正仿宋_GB2312" w:cs="Times New Roman"/>
          <w:b w:val="0"/>
          <w:bCs w:val="0"/>
          <w:color w:val="auto"/>
        </w:rPr>
        <w:t>.0.12.3</w:t>
      </w:r>
      <w:r>
        <w:rPr>
          <w:rFonts w:hint="eastAsia" w:ascii="Times New Roman" w:hAnsi="Times New Roman" w:eastAsia="方正仿宋_GB2312" w:cs="Times New Roman"/>
          <w:b w:val="0"/>
          <w:bCs w:val="0"/>
          <w:color w:val="auto"/>
        </w:rPr>
        <w:t xml:space="preserve"> 化粪池清掏周期不应小于360d；</w:t>
      </w:r>
    </w:p>
    <w:p w14:paraId="750BA7F8">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w:t>
      </w:r>
      <w:r>
        <w:rPr>
          <w:rFonts w:ascii="Times New Roman" w:hAnsi="Times New Roman" w:eastAsia="方正仿宋_GB2312" w:cs="Times New Roman"/>
          <w:b w:val="0"/>
          <w:bCs w:val="0"/>
          <w:color w:val="auto"/>
        </w:rPr>
        <w:t>.0.12.4</w:t>
      </w:r>
      <w:r>
        <w:rPr>
          <w:rFonts w:hint="eastAsia" w:ascii="Times New Roman" w:hAnsi="Times New Roman" w:eastAsia="方正仿宋_GB2312" w:cs="Times New Roman"/>
          <w:b w:val="0"/>
          <w:bCs w:val="0"/>
          <w:color w:val="auto"/>
        </w:rPr>
        <w:t xml:space="preserve"> 污水处理设施应密闭，尾气应统一收集消毒处理后排放。</w:t>
      </w:r>
    </w:p>
    <w:p w14:paraId="566930B2">
      <w:pPr>
        <w:widowControl/>
        <w:jc w:val="left"/>
        <w:rPr>
          <w:rFonts w:ascii="Times New Roman" w:hAnsi="Times New Roman" w:eastAsia="方正仿宋_GB2312" w:cs="Times New Roman"/>
          <w:snapToGrid w:val="0"/>
          <w:kern w:val="0"/>
          <w:sz w:val="28"/>
          <w:szCs w:val="28"/>
          <w:lang w:eastAsia="en-US"/>
        </w:rPr>
      </w:pPr>
      <w:r>
        <w:rPr>
          <w:rFonts w:ascii="Times New Roman" w:hAnsi="Times New Roman" w:eastAsia="方正仿宋_GB2312" w:cs="Times New Roman"/>
          <w:b/>
          <w:bCs/>
        </w:rPr>
        <w:br w:type="page"/>
      </w:r>
    </w:p>
    <w:p w14:paraId="5E6C9CEF">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cs="Times New Roman"/>
          <w:b w:val="0"/>
          <w:snapToGrid w:val="0"/>
          <w:kern w:val="0"/>
          <w:sz w:val="40"/>
          <w:szCs w:val="40"/>
          <w:lang w:eastAsia="en-US"/>
        </w:rPr>
      </w:pPr>
      <w:bookmarkStart w:id="36" w:name="_Toc215675813"/>
      <w:r>
        <w:rPr>
          <w:rFonts w:hint="eastAsia" w:ascii="Times New Roman" w:hAnsi="Times New Roman" w:eastAsia="黑体" w:cs="Times New Roman"/>
          <w:b w:val="0"/>
          <w:snapToGrid w:val="0"/>
          <w:kern w:val="0"/>
          <w:sz w:val="40"/>
          <w:szCs w:val="40"/>
          <w:lang w:eastAsia="en-US"/>
        </w:rPr>
        <w:t xml:space="preserve">9 </w:t>
      </w:r>
      <w:r>
        <w:rPr>
          <w:rFonts w:ascii="Times New Roman" w:hAnsi="Times New Roman" w:eastAsia="黑体" w:cs="Times New Roman"/>
          <w:b w:val="0"/>
          <w:snapToGrid w:val="0"/>
          <w:kern w:val="0"/>
          <w:sz w:val="40"/>
          <w:szCs w:val="40"/>
          <w:lang w:eastAsia="en-US"/>
        </w:rPr>
        <w:t xml:space="preserve"> </w:t>
      </w:r>
      <w:r>
        <w:rPr>
          <w:rFonts w:hint="eastAsia" w:ascii="Times New Roman" w:hAnsi="Times New Roman" w:eastAsia="黑体" w:cs="Times New Roman"/>
          <w:b w:val="0"/>
          <w:snapToGrid w:val="0"/>
          <w:kern w:val="0"/>
          <w:sz w:val="40"/>
          <w:szCs w:val="40"/>
          <w:lang w:eastAsia="en-US"/>
        </w:rPr>
        <w:t>供暖、通风与空</w:t>
      </w:r>
      <w:r>
        <w:rPr>
          <w:rFonts w:hint="eastAsia" w:ascii="Times New Roman" w:hAnsi="Times New Roman" w:eastAsia="黑体" w:cs="Times New Roman"/>
          <w:b w:val="0"/>
          <w:snapToGrid w:val="0"/>
          <w:kern w:val="0"/>
          <w:sz w:val="40"/>
          <w:szCs w:val="40"/>
        </w:rPr>
        <w:t>调</w:t>
      </w:r>
      <w:bookmarkEnd w:id="36"/>
    </w:p>
    <w:p w14:paraId="1C7DF981">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cs="Times New Roman"/>
          <w:b w:val="0"/>
          <w:snapToGrid w:val="0"/>
          <w:kern w:val="0"/>
          <w:sz w:val="40"/>
          <w:szCs w:val="40"/>
          <w:lang w:eastAsia="en-US"/>
        </w:rPr>
      </w:pPr>
    </w:p>
    <w:p w14:paraId="34CD05AA">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9.0.1 应根据工艺需求及储存物品的安全性要求合理选择基地内仓储、物流等工艺性建筑及办公建筑的供暖方式，并宜选择分散式供暖、局部供暖方式，供暖热源应尽量利用太阳能、空气源热泵等可再生能源。</w:t>
      </w:r>
    </w:p>
    <w:p w14:paraId="385F2BF1">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9.0.2 大仓基地内的各类建筑室内供暖设计温度及供暖系统能量控制、计量措施均应符合国家或地方相应规范的规定。</w:t>
      </w:r>
    </w:p>
    <w:p w14:paraId="36258695">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9.0.3 当采用热水供暖系统时，可采用散热器热水供暖、低温热水地板辐射供暖及热风供暖、中温辐射板供暖的单一或组合方式。</w:t>
      </w:r>
    </w:p>
    <w:p w14:paraId="58A8C749">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9.0.3.1 当采用散热器热水供暖形式时供水水温不应超过85℃，供回水温差不应小于20℃；</w:t>
      </w:r>
    </w:p>
    <w:p w14:paraId="5DF22E75">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9.0.3.2 当采用低温热水地板辐射供暖形式时供水水温不应超过60℃，供回水温差不宜大于10℃且不宜小于5℃；</w:t>
      </w:r>
    </w:p>
    <w:p w14:paraId="2EED30C5">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9.0.3.3 当采用热风供暖形式时供水水温不应超过95℃，供回水温差不宜小于10℃；</w:t>
      </w:r>
    </w:p>
    <w:p w14:paraId="5C74CF7B">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9.0.3.4 当采用中温辐射板供暖方式时供水温度不应超过95℃，供回水温差不应超过10℃。</w:t>
      </w:r>
    </w:p>
    <w:p w14:paraId="08487A54">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9.0.4 设置热风供暖且无散热器值班供暖的物流仓储建筑，其热风供暖系统不宜少于两套系统或两个装置，且每个系统或装置的最小供热量应保证室内工艺要求的最低温度并不得低于5℃。</w:t>
      </w:r>
    </w:p>
    <w:p w14:paraId="5F89976B">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9.0.5 工艺性建筑内配套的部分办公、值班等管理用房供暖环路或系统应与工艺性区域分开设置，并便于运行操作及维护。各留观房间的空调应独立设置。</w:t>
      </w:r>
    </w:p>
    <w:p w14:paraId="3C82D8D6">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9.0.6 供暖系统设置的自动排气阀及泄水装置及平时检修不应污染仓储物品或其安有净化需求的空间环境。</w:t>
      </w:r>
    </w:p>
    <w:p w14:paraId="02C551FA">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9.0.7 储存物品的库房等供暖物流建筑宜设置大门热空气幕。</w:t>
      </w:r>
    </w:p>
    <w:p w14:paraId="66E69B31">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9.0.8 供暖系统散热器支管上应设置自动恒温阀。</w:t>
      </w:r>
    </w:p>
    <w:p w14:paraId="37DC898F">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9.0.9 通风系统应根据城郊大仓基地建筑类别以及外区、缓冲区、内区按洁污分区独立设置并确保气流方向。</w:t>
      </w:r>
    </w:p>
    <w:p w14:paraId="22960CDE">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9.0.10 基地内仓储、物流等工艺性建筑的通风系统设计宜符合以下规定：</w:t>
      </w:r>
    </w:p>
    <w:p w14:paraId="717852EC">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9.0.10.1 当自然通风不能完全满足通风要求时，可采用自然通风与机械通风相结合的方式；</w:t>
      </w:r>
    </w:p>
    <w:p w14:paraId="3012235E">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9.0.10.2 机械通风宜采取全面通风与局部通风相结合的方式。</w:t>
      </w:r>
    </w:p>
    <w:p w14:paraId="42E39BE6">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9.0.11 当采用自然通风方式时，自然通风量及进排风面积应根据计算确定。对于人工操作的固定岗位等通风要求较高的场所，尚应设置机械通风系统；</w:t>
      </w:r>
    </w:p>
    <w:p w14:paraId="30E09CB9">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9.0.12 当采用机械通风方式时，机械通风量应根据风量平衡及热平衡计算确定，且应满足不同工艺、环境对换气次数的要求，补风可采用自然补风或机械补风，补风量不宜低于排风量的50%。</w:t>
      </w:r>
    </w:p>
    <w:p w14:paraId="33E93AB4">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9.0.13 事故排风系统排风量按全面排风计算确定，且换气次数不应小于12n/h。事故排风系统应根据排放气体的种类设置相应的监测报警及控制系统，手动控制装置应在室内外便于操作的地点分别控制。</w:t>
      </w:r>
    </w:p>
    <w:p w14:paraId="157DC889">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9.0.14 事故排风系统的排风机应采用防爆型，其排风管不应穿越有爆炸危险、可燃物较多仓储物流空间及人员密集场所，且风管应采用不燃材料直通室外安全处，不应暗设。</w:t>
      </w:r>
    </w:p>
    <w:p w14:paraId="1582EBA4">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9.0.15 对于产生有毒、有害气体必须设置废气处理装置时，应符合以下规定：</w:t>
      </w:r>
    </w:p>
    <w:p w14:paraId="5A96AB13">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9.0.15.1排放气体处理装置应设置于排风机吸入端，且应设置于排风系统室外末端</w:t>
      </w:r>
      <w:r>
        <w:rPr>
          <w:rFonts w:hint="eastAsia" w:ascii="Times New Roman" w:hAnsi="Times New Roman" w:eastAsia="方正仿宋_GB2312" w:cs="Times New Roman"/>
          <w:b w:val="0"/>
          <w:bCs w:val="0"/>
          <w:color w:val="auto"/>
          <w:lang w:eastAsia="zh-CN"/>
        </w:rPr>
        <w:t>；</w:t>
      </w:r>
    </w:p>
    <w:p w14:paraId="612DD017">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9.0.15.2 应设置室内污染气体浓度监测及报警装置并与排风机联动</w:t>
      </w:r>
      <w:r>
        <w:rPr>
          <w:rFonts w:hint="eastAsia" w:ascii="Times New Roman" w:hAnsi="Times New Roman" w:eastAsia="方正仿宋_GB2312" w:cs="Times New Roman"/>
          <w:b w:val="0"/>
          <w:bCs w:val="0"/>
          <w:color w:val="auto"/>
          <w:lang w:eastAsia="zh-CN"/>
        </w:rPr>
        <w:t>；</w:t>
      </w:r>
    </w:p>
    <w:p w14:paraId="3594FA8B">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9.0.15.3 排放标准应符合现行国家和地方标准的规定。</w:t>
      </w:r>
    </w:p>
    <w:p w14:paraId="2F5C6776">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9.0.1</w:t>
      </w:r>
      <w:r>
        <w:rPr>
          <w:rFonts w:ascii="Times New Roman" w:hAnsi="Times New Roman" w:eastAsia="方正仿宋_GB2312" w:cs="Times New Roman"/>
          <w:b w:val="0"/>
          <w:bCs w:val="0"/>
          <w:color w:val="auto"/>
        </w:rPr>
        <w:t>6</w:t>
      </w:r>
      <w:r>
        <w:rPr>
          <w:rFonts w:hint="eastAsia" w:ascii="Times New Roman" w:hAnsi="Times New Roman" w:eastAsia="方正仿宋_GB2312" w:cs="Times New Roman"/>
          <w:b w:val="0"/>
          <w:bCs w:val="0"/>
          <w:color w:val="auto"/>
        </w:rPr>
        <w:t xml:space="preserve"> 对鲜活易腐品、水产品进行加工的场所应设置机械通风系统，通风量应满足操作人员及储运鲜活物品两者最大新风量需求和通风需求</w:t>
      </w:r>
      <w:r>
        <w:rPr>
          <w:rFonts w:hint="eastAsia" w:ascii="Times New Roman" w:hAnsi="Times New Roman" w:eastAsia="方正仿宋_GB2312" w:cs="Times New Roman"/>
          <w:b w:val="0"/>
          <w:bCs w:val="0"/>
          <w:color w:val="auto"/>
          <w:lang w:eastAsia="zh-CN"/>
        </w:rPr>
        <w:t>。</w:t>
      </w:r>
    </w:p>
    <w:p w14:paraId="06F9DFDB">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9.0.1</w:t>
      </w:r>
      <w:r>
        <w:rPr>
          <w:rFonts w:ascii="Times New Roman" w:hAnsi="Times New Roman" w:eastAsia="方正仿宋_GB2312" w:cs="Times New Roman"/>
          <w:b w:val="0"/>
          <w:bCs w:val="0"/>
          <w:color w:val="auto"/>
        </w:rPr>
        <w:t>7</w:t>
      </w:r>
      <w:r>
        <w:rPr>
          <w:rFonts w:hint="eastAsia" w:ascii="Times New Roman" w:hAnsi="Times New Roman" w:eastAsia="方正仿宋_GB2312" w:cs="Times New Roman"/>
          <w:b w:val="0"/>
          <w:bCs w:val="0"/>
          <w:color w:val="auto"/>
        </w:rPr>
        <w:t xml:space="preserve"> 运输车辆充电间（区）应设置独立的机械通风系统。</w:t>
      </w:r>
    </w:p>
    <w:p w14:paraId="3B0D7AB3">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9.0.1</w:t>
      </w:r>
      <w:r>
        <w:rPr>
          <w:rFonts w:ascii="Times New Roman" w:hAnsi="Times New Roman" w:eastAsia="方正仿宋_GB2312" w:cs="Times New Roman"/>
          <w:b w:val="0"/>
          <w:bCs w:val="0"/>
          <w:color w:val="auto"/>
        </w:rPr>
        <w:t>8</w:t>
      </w:r>
      <w:r>
        <w:rPr>
          <w:rFonts w:hint="eastAsia" w:ascii="Times New Roman" w:hAnsi="Times New Roman" w:eastAsia="方正仿宋_GB2312" w:cs="Times New Roman"/>
          <w:b w:val="0"/>
          <w:bCs w:val="0"/>
          <w:color w:val="auto"/>
        </w:rPr>
        <w:t xml:space="preserve"> 通风及空调系统机房的位置均不应影响生产工艺及功能使用，进风口及排风口均应设置防止昆虫、鼠类等动物进入的防护措施。</w:t>
      </w:r>
    </w:p>
    <w:p w14:paraId="0F28E9F7">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9.0.1</w:t>
      </w:r>
      <w:r>
        <w:rPr>
          <w:rFonts w:ascii="Times New Roman" w:hAnsi="Times New Roman" w:eastAsia="方正仿宋_GB2312" w:cs="Times New Roman"/>
          <w:b w:val="0"/>
          <w:bCs w:val="0"/>
          <w:color w:val="auto"/>
        </w:rPr>
        <w:t>9</w:t>
      </w:r>
      <w:r>
        <w:rPr>
          <w:rFonts w:hint="eastAsia" w:ascii="Times New Roman" w:hAnsi="Times New Roman" w:eastAsia="方正仿宋_GB2312" w:cs="Times New Roman"/>
          <w:b w:val="0"/>
          <w:bCs w:val="0"/>
          <w:color w:val="auto"/>
        </w:rPr>
        <w:t xml:space="preserve"> 排风系统及补风系统的风口应满足相关规范对其平面及竖向距离的要求，避免出现产生气流短路情况。</w:t>
      </w:r>
    </w:p>
    <w:p w14:paraId="2FA46067">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9.0.</w:t>
      </w:r>
      <w:r>
        <w:rPr>
          <w:rFonts w:ascii="Times New Roman" w:hAnsi="Times New Roman" w:eastAsia="方正仿宋_GB2312" w:cs="Times New Roman"/>
          <w:b w:val="0"/>
          <w:bCs w:val="0"/>
          <w:color w:val="auto"/>
        </w:rPr>
        <w:t>20</w:t>
      </w:r>
      <w:r>
        <w:rPr>
          <w:rFonts w:hint="eastAsia" w:ascii="Times New Roman" w:hAnsi="Times New Roman" w:eastAsia="方正仿宋_GB2312" w:cs="Times New Roman"/>
          <w:b w:val="0"/>
          <w:bCs w:val="0"/>
          <w:color w:val="auto"/>
        </w:rPr>
        <w:t xml:space="preserve"> 机械送、排风系统的启停应联锁控制，通风系统启动先后顺序为：外区→缓冲区→内区，对于外区及缓冲区应先启动排风机，再启动送风机，对于内区应先启动送风机，再启动排风机。系统停止运行时，关机顺序相反。新建项目应一次设计安装到位。</w:t>
      </w:r>
    </w:p>
    <w:p w14:paraId="501327AF">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9.0.</w:t>
      </w:r>
      <w:r>
        <w:rPr>
          <w:rFonts w:ascii="Times New Roman" w:hAnsi="Times New Roman" w:eastAsia="方正仿宋_GB2312" w:cs="Times New Roman"/>
          <w:b w:val="0"/>
          <w:bCs w:val="0"/>
          <w:color w:val="auto"/>
        </w:rPr>
        <w:t>21</w:t>
      </w:r>
      <w:r>
        <w:rPr>
          <w:rFonts w:hint="eastAsia" w:ascii="Times New Roman" w:hAnsi="Times New Roman" w:eastAsia="方正仿宋_GB2312" w:cs="Times New Roman"/>
          <w:b w:val="0"/>
          <w:bCs w:val="0"/>
          <w:color w:val="auto"/>
        </w:rPr>
        <w:t xml:space="preserve"> 应根据工艺及功能、使用需求，合理选择基地内仓储、物流等工艺性建筑及办公建筑的空调及冷热源方式，并宜采用分体机、多联机等分散式或局部空调系统。</w:t>
      </w:r>
    </w:p>
    <w:p w14:paraId="09E63D5E">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9.0.2</w:t>
      </w:r>
      <w:r>
        <w:rPr>
          <w:rFonts w:ascii="Times New Roman" w:hAnsi="Times New Roman" w:eastAsia="方正仿宋_GB2312" w:cs="Times New Roman"/>
          <w:b w:val="0"/>
          <w:bCs w:val="0"/>
          <w:color w:val="auto"/>
        </w:rPr>
        <w:t>2</w:t>
      </w:r>
      <w:r>
        <w:rPr>
          <w:rFonts w:hint="eastAsia" w:ascii="Times New Roman" w:hAnsi="Times New Roman" w:eastAsia="方正仿宋_GB2312" w:cs="Times New Roman"/>
          <w:b w:val="0"/>
          <w:bCs w:val="0"/>
          <w:color w:val="auto"/>
        </w:rPr>
        <w:t xml:space="preserve"> 当需要设置集中式空调系统时，宜结合宝鸡市能源结构实际情况，尽量利用可再生能源作为空调系统冷（热）源。</w:t>
      </w:r>
    </w:p>
    <w:p w14:paraId="60CCFBFD">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9.0.2</w:t>
      </w:r>
      <w:r>
        <w:rPr>
          <w:rFonts w:ascii="Times New Roman" w:hAnsi="Times New Roman" w:eastAsia="方正仿宋_GB2312" w:cs="Times New Roman"/>
          <w:b w:val="0"/>
          <w:bCs w:val="0"/>
          <w:color w:val="auto"/>
        </w:rPr>
        <w:t>3</w:t>
      </w:r>
      <w:r>
        <w:rPr>
          <w:rFonts w:hint="eastAsia" w:ascii="Times New Roman" w:hAnsi="Times New Roman" w:eastAsia="方正仿宋_GB2312" w:cs="Times New Roman"/>
          <w:b w:val="0"/>
          <w:bCs w:val="0"/>
          <w:color w:val="auto"/>
        </w:rPr>
        <w:t xml:space="preserve"> 空调室内设计温度应符合国家或地方相应规范的规定，空调系统新风量应满足室内正压需求及工作人员和工艺系统的需求。</w:t>
      </w:r>
    </w:p>
    <w:p w14:paraId="32EC05A2">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9.0.2</w:t>
      </w:r>
      <w:r>
        <w:rPr>
          <w:rFonts w:ascii="Times New Roman" w:hAnsi="Times New Roman" w:eastAsia="方正仿宋_GB2312" w:cs="Times New Roman"/>
          <w:b w:val="0"/>
          <w:bCs w:val="0"/>
          <w:color w:val="auto"/>
        </w:rPr>
        <w:t>4</w:t>
      </w:r>
      <w:r>
        <w:rPr>
          <w:rFonts w:hint="eastAsia" w:ascii="Times New Roman" w:hAnsi="Times New Roman" w:eastAsia="方正仿宋_GB2312" w:cs="Times New Roman"/>
          <w:b w:val="0"/>
          <w:bCs w:val="0"/>
          <w:color w:val="auto"/>
        </w:rPr>
        <w:t xml:space="preserve"> 有洁净度要求的城郊大仓基地工艺建筑净化系统应根据工艺需要，合理进行送回（排）气流组织，保证工艺对压力梯度的要求。</w:t>
      </w:r>
    </w:p>
    <w:p w14:paraId="23A0E0D5">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9.0.2</w:t>
      </w:r>
      <w:r>
        <w:rPr>
          <w:rFonts w:ascii="Times New Roman" w:hAnsi="Times New Roman" w:eastAsia="方正仿宋_GB2312" w:cs="Times New Roman"/>
          <w:b w:val="0"/>
          <w:bCs w:val="0"/>
          <w:color w:val="auto"/>
        </w:rPr>
        <w:t>5</w:t>
      </w:r>
      <w:r>
        <w:rPr>
          <w:rFonts w:hint="eastAsia" w:ascii="Times New Roman" w:hAnsi="Times New Roman" w:eastAsia="方正仿宋_GB2312" w:cs="Times New Roman"/>
          <w:b w:val="0"/>
          <w:bCs w:val="0"/>
          <w:color w:val="auto"/>
        </w:rPr>
        <w:t xml:space="preserve"> 有洁净要求、处理医药及食品的仓储物流建筑，原辅料间、分发取样间净化级别应与储存或生产加工车间的净化级别相同</w:t>
      </w:r>
      <w:r>
        <w:rPr>
          <w:rFonts w:hint="eastAsia" w:ascii="Times New Roman" w:hAnsi="Times New Roman" w:eastAsia="方正仿宋_GB2312" w:cs="Times New Roman"/>
          <w:b w:val="0"/>
          <w:bCs w:val="0"/>
          <w:color w:val="auto"/>
          <w:lang w:eastAsia="zh-CN"/>
        </w:rPr>
        <w:t>。</w:t>
      </w:r>
    </w:p>
    <w:p w14:paraId="6DDE2212">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9.0.2</w:t>
      </w:r>
      <w:r>
        <w:rPr>
          <w:rFonts w:ascii="Times New Roman" w:hAnsi="Times New Roman" w:eastAsia="方正仿宋_GB2312" w:cs="Times New Roman"/>
          <w:b w:val="0"/>
          <w:bCs w:val="0"/>
          <w:color w:val="auto"/>
        </w:rPr>
        <w:t>6</w:t>
      </w:r>
      <w:r>
        <w:rPr>
          <w:rFonts w:hint="eastAsia" w:ascii="Times New Roman" w:hAnsi="Times New Roman" w:eastAsia="方正仿宋_GB2312" w:cs="Times New Roman"/>
          <w:b w:val="0"/>
          <w:bCs w:val="0"/>
          <w:color w:val="auto"/>
        </w:rPr>
        <w:t xml:space="preserve"> 净化空调系统的空调净化装置应设置净化失效报警装置，高压静电空气净化装置应有与风机有效联动的措施。</w:t>
      </w:r>
    </w:p>
    <w:p w14:paraId="7DCDEC72">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9.0.2</w:t>
      </w:r>
      <w:r>
        <w:rPr>
          <w:rFonts w:ascii="Times New Roman" w:hAnsi="Times New Roman" w:eastAsia="方正仿宋_GB2312" w:cs="Times New Roman"/>
          <w:b w:val="0"/>
          <w:bCs w:val="0"/>
          <w:color w:val="auto"/>
        </w:rPr>
        <w:t>7</w:t>
      </w:r>
      <w:r>
        <w:rPr>
          <w:rFonts w:hint="eastAsia" w:ascii="Times New Roman" w:hAnsi="Times New Roman" w:eastAsia="方正仿宋_GB2312" w:cs="Times New Roman"/>
          <w:b w:val="0"/>
          <w:bCs w:val="0"/>
          <w:color w:val="auto"/>
        </w:rPr>
        <w:t xml:space="preserve"> 物流仓储、生产加工及分拣等有洁净要求的作业区，当工艺对洁净环境的温湿度无特殊要求时，应保证洁净作业区人员的新风量及温湿度要求。</w:t>
      </w:r>
    </w:p>
    <w:p w14:paraId="5FF4BE6F">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9.0.2</w:t>
      </w:r>
      <w:r>
        <w:rPr>
          <w:rFonts w:ascii="Times New Roman" w:hAnsi="Times New Roman" w:eastAsia="方正仿宋_GB2312" w:cs="Times New Roman"/>
          <w:b w:val="0"/>
          <w:bCs w:val="0"/>
          <w:color w:val="auto"/>
        </w:rPr>
        <w:t>8</w:t>
      </w:r>
      <w:r>
        <w:rPr>
          <w:rFonts w:hint="eastAsia" w:ascii="Times New Roman" w:hAnsi="Times New Roman" w:eastAsia="方正仿宋_GB2312" w:cs="Times New Roman"/>
          <w:b w:val="0"/>
          <w:bCs w:val="0"/>
          <w:color w:val="auto"/>
        </w:rPr>
        <w:t xml:space="preserve"> 有空气湿度控制要求的场所，应根据当地气象条件、工艺需求情况设置合理的除湿或加湿系统，屋面内表面及地面不应出现凝结水。</w:t>
      </w:r>
    </w:p>
    <w:p w14:paraId="4B3A8D41">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9.0.2</w:t>
      </w:r>
      <w:r>
        <w:rPr>
          <w:rFonts w:ascii="Times New Roman" w:hAnsi="Times New Roman" w:eastAsia="方正仿宋_GB2312" w:cs="Times New Roman"/>
          <w:b w:val="0"/>
          <w:bCs w:val="0"/>
          <w:color w:val="auto"/>
        </w:rPr>
        <w:t>9</w:t>
      </w:r>
      <w:r>
        <w:rPr>
          <w:rFonts w:hint="eastAsia" w:ascii="Times New Roman" w:hAnsi="Times New Roman" w:eastAsia="方正仿宋_GB2312" w:cs="Times New Roman"/>
          <w:b w:val="0"/>
          <w:bCs w:val="0"/>
          <w:color w:val="auto"/>
        </w:rPr>
        <w:t xml:space="preserve"> 空调末端及除湿系统产生的凝结水及加湿系统用水（蒸汽）均不应污染仓储物品有净化需求的空间环境，且不应影响储存物品的安全储存。</w:t>
      </w:r>
    </w:p>
    <w:p w14:paraId="2049C3CB">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9.0.</w:t>
      </w:r>
      <w:r>
        <w:rPr>
          <w:rFonts w:ascii="Times New Roman" w:hAnsi="Times New Roman" w:eastAsia="方正仿宋_GB2312" w:cs="Times New Roman"/>
          <w:b w:val="0"/>
          <w:bCs w:val="0"/>
          <w:color w:val="auto"/>
        </w:rPr>
        <w:t>30</w:t>
      </w:r>
      <w:r>
        <w:rPr>
          <w:rFonts w:hint="eastAsia" w:ascii="Times New Roman" w:hAnsi="Times New Roman" w:eastAsia="方正仿宋_GB2312" w:cs="Times New Roman"/>
          <w:b w:val="0"/>
          <w:bCs w:val="0"/>
          <w:color w:val="auto"/>
        </w:rPr>
        <w:t xml:space="preserve"> 冷库的制冷系统应独立设置，且应满足“平时”和“急时”冷冻、冷藏的工艺及使用需求。</w:t>
      </w:r>
    </w:p>
    <w:p w14:paraId="7FF592BB">
      <w:pPr>
        <w:rPr>
          <w:rFonts w:ascii="宋体" w:hAnsi="宋体" w:eastAsia="宋体"/>
          <w:sz w:val="28"/>
          <w:szCs w:val="28"/>
        </w:rPr>
      </w:pPr>
      <w:r>
        <w:rPr>
          <w:rFonts w:ascii="宋体" w:hAnsi="宋体" w:eastAsia="宋体"/>
          <w:sz w:val="28"/>
          <w:szCs w:val="28"/>
        </w:rPr>
        <w:br w:type="page"/>
      </w:r>
    </w:p>
    <w:p w14:paraId="3C49D867">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cs="Times New Roman"/>
          <w:b w:val="0"/>
          <w:snapToGrid w:val="0"/>
          <w:kern w:val="0"/>
          <w:sz w:val="40"/>
          <w:szCs w:val="40"/>
          <w:lang w:eastAsia="en-US"/>
        </w:rPr>
      </w:pPr>
      <w:bookmarkStart w:id="37" w:name="_Toc215675814"/>
      <w:r>
        <w:rPr>
          <w:rFonts w:hint="eastAsia" w:ascii="Times New Roman" w:hAnsi="Times New Roman" w:eastAsia="黑体" w:cs="Times New Roman"/>
          <w:b w:val="0"/>
          <w:snapToGrid w:val="0"/>
          <w:kern w:val="0"/>
          <w:sz w:val="40"/>
          <w:szCs w:val="40"/>
          <w:lang w:eastAsia="en-US"/>
        </w:rPr>
        <w:t>1</w:t>
      </w:r>
      <w:r>
        <w:rPr>
          <w:rFonts w:ascii="Times New Roman" w:hAnsi="Times New Roman" w:eastAsia="黑体" w:cs="Times New Roman"/>
          <w:b w:val="0"/>
          <w:snapToGrid w:val="0"/>
          <w:kern w:val="0"/>
          <w:sz w:val="40"/>
          <w:szCs w:val="40"/>
          <w:lang w:eastAsia="en-US"/>
        </w:rPr>
        <w:t xml:space="preserve">0  </w:t>
      </w:r>
      <w:r>
        <w:rPr>
          <w:rFonts w:hint="eastAsia" w:ascii="Times New Roman" w:hAnsi="Times New Roman" w:eastAsia="黑体" w:cs="Times New Roman"/>
          <w:b w:val="0"/>
          <w:snapToGrid w:val="0"/>
          <w:kern w:val="0"/>
          <w:sz w:val="40"/>
          <w:szCs w:val="40"/>
          <w:lang w:eastAsia="en-US"/>
        </w:rPr>
        <w:t>电</w:t>
      </w:r>
      <w:r>
        <w:rPr>
          <w:rFonts w:hint="eastAsia" w:ascii="Times New Roman" w:hAnsi="Times New Roman" w:eastAsia="黑体" w:cs="Times New Roman"/>
          <w:b w:val="0"/>
          <w:snapToGrid w:val="0"/>
          <w:kern w:val="0"/>
          <w:sz w:val="40"/>
          <w:szCs w:val="40"/>
        </w:rPr>
        <w:t>气</w:t>
      </w:r>
      <w:bookmarkEnd w:id="37"/>
    </w:p>
    <w:p w14:paraId="304187D6">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cs="Times New Roman"/>
          <w:b w:val="0"/>
          <w:snapToGrid w:val="0"/>
          <w:kern w:val="0"/>
          <w:sz w:val="40"/>
          <w:szCs w:val="40"/>
          <w:lang w:eastAsia="en-US"/>
        </w:rPr>
      </w:pPr>
    </w:p>
    <w:p w14:paraId="1469C2AA">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10.0.1 “平急两用”新建建筑及既有建筑改造电气设计，应同时满足建筑物对负荷等级、供配电系统和电源的要求。</w:t>
      </w:r>
    </w:p>
    <w:p w14:paraId="385DAE6D">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10.0.2</w:t>
      </w:r>
      <w:r>
        <w:rPr>
          <w:rFonts w:hint="eastAsia" w:ascii="Times New Roman" w:hAnsi="Times New Roman" w:eastAsia="方正仿宋_GB2312" w:cs="Times New Roman"/>
          <w:b w:val="0"/>
          <w:bCs w:val="0"/>
          <w:color w:val="auto"/>
        </w:rPr>
        <w:t xml:space="preserve"> 新建</w:t>
      </w:r>
      <w:r>
        <w:rPr>
          <w:rFonts w:ascii="Times New Roman" w:hAnsi="Times New Roman" w:eastAsia="方正仿宋_GB2312" w:cs="Times New Roman"/>
          <w:b w:val="0"/>
          <w:bCs w:val="0"/>
          <w:color w:val="auto"/>
        </w:rPr>
        <w:t>变配电室或户外预装式变电站应设置</w:t>
      </w:r>
      <w:r>
        <w:rPr>
          <w:rFonts w:hint="eastAsia" w:ascii="Times New Roman" w:hAnsi="Times New Roman" w:eastAsia="方正仿宋_GB2312" w:cs="Times New Roman"/>
          <w:b w:val="0"/>
          <w:bCs w:val="0"/>
          <w:color w:val="auto"/>
        </w:rPr>
        <w:t>在地面层，其场地高程应高于</w:t>
      </w:r>
      <w:r>
        <w:rPr>
          <w:rFonts w:ascii="Times New Roman" w:hAnsi="Times New Roman" w:eastAsia="方正仿宋_GB2312" w:cs="Times New Roman"/>
          <w:b w:val="0"/>
          <w:bCs w:val="0"/>
          <w:color w:val="auto"/>
        </w:rPr>
        <w:t>当地防涝用地高程或</w:t>
      </w:r>
      <w:r>
        <w:rPr>
          <w:rFonts w:hint="eastAsia" w:ascii="Times New Roman" w:hAnsi="Times New Roman" w:eastAsia="方正仿宋_GB2312" w:cs="Times New Roman"/>
          <w:b w:val="0"/>
          <w:bCs w:val="0"/>
          <w:color w:val="auto"/>
        </w:rPr>
        <w:t>当地</w:t>
      </w:r>
      <w:r>
        <w:rPr>
          <w:rFonts w:ascii="Times New Roman" w:hAnsi="Times New Roman" w:eastAsia="方正仿宋_GB2312" w:cs="Times New Roman"/>
          <w:b w:val="0"/>
          <w:bCs w:val="0"/>
          <w:color w:val="auto"/>
        </w:rPr>
        <w:t>历史最高水位。</w:t>
      </w:r>
    </w:p>
    <w:p w14:paraId="7CF96E0D">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10.0.3</w:t>
      </w:r>
      <w:r>
        <w:rPr>
          <w:rFonts w:hint="eastAsia" w:ascii="Times New Roman" w:hAnsi="Times New Roman" w:eastAsia="方正仿宋_GB2312" w:cs="Times New Roman"/>
          <w:b w:val="0"/>
          <w:bCs w:val="0"/>
          <w:color w:val="auto"/>
        </w:rPr>
        <w:t xml:space="preserve"> </w:t>
      </w:r>
      <w:r>
        <w:rPr>
          <w:rFonts w:ascii="Times New Roman" w:hAnsi="Times New Roman" w:eastAsia="方正仿宋_GB2312" w:cs="Times New Roman"/>
          <w:b w:val="0"/>
          <w:bCs w:val="0"/>
          <w:color w:val="auto"/>
        </w:rPr>
        <w:t>应在</w:t>
      </w:r>
      <w:r>
        <w:rPr>
          <w:rFonts w:hint="eastAsia" w:ascii="Times New Roman" w:hAnsi="Times New Roman" w:eastAsia="方正仿宋_GB2312" w:cs="Times New Roman"/>
          <w:b w:val="0"/>
          <w:bCs w:val="0"/>
          <w:color w:val="auto"/>
          <w:lang w:eastAsia="zh-CN"/>
        </w:rPr>
        <w:t>新建</w:t>
      </w:r>
      <w:r>
        <w:rPr>
          <w:rFonts w:ascii="Times New Roman" w:hAnsi="Times New Roman" w:eastAsia="方正仿宋_GB2312" w:cs="Times New Roman"/>
          <w:b w:val="0"/>
          <w:bCs w:val="0"/>
          <w:color w:val="auto"/>
        </w:rPr>
        <w:t>变配电室或总配电室等适当位置预留“急时”电源接口及场地，满足“急时”电源容量快速扩展的需要。</w:t>
      </w:r>
    </w:p>
    <w:p w14:paraId="07FFDC7E">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10.0.4 应急电源采用柴油发电机组时，应设置自动和手动</w:t>
      </w:r>
      <w:r>
        <w:rPr>
          <w:rFonts w:hint="eastAsia" w:ascii="Times New Roman" w:hAnsi="Times New Roman" w:eastAsia="方正仿宋_GB2312" w:cs="Times New Roman"/>
          <w:b w:val="0"/>
          <w:bCs w:val="0"/>
          <w:color w:val="auto"/>
        </w:rPr>
        <w:t>双</w:t>
      </w:r>
      <w:r>
        <w:rPr>
          <w:rFonts w:ascii="Times New Roman" w:hAnsi="Times New Roman" w:eastAsia="方正仿宋_GB2312" w:cs="Times New Roman"/>
          <w:b w:val="0"/>
          <w:bCs w:val="0"/>
          <w:color w:val="auto"/>
        </w:rPr>
        <w:t>启动模式，在市电停电15s内应自动启动并能保证30s内供电，</w:t>
      </w:r>
      <w:r>
        <w:rPr>
          <w:rFonts w:hint="eastAsia" w:ascii="Times New Roman" w:hAnsi="Times New Roman" w:eastAsia="方正仿宋_GB2312" w:cs="Times New Roman"/>
          <w:b w:val="0"/>
          <w:bCs w:val="0"/>
          <w:color w:val="auto"/>
        </w:rPr>
        <w:t>机电</w:t>
      </w:r>
      <w:r>
        <w:rPr>
          <w:rFonts w:ascii="Times New Roman" w:hAnsi="Times New Roman" w:eastAsia="方正仿宋_GB2312" w:cs="Times New Roman"/>
          <w:b w:val="0"/>
          <w:bCs w:val="0"/>
          <w:color w:val="auto"/>
        </w:rPr>
        <w:t>容量应满足所有“平时”和“急时”一级负荷和二级负荷用电要求。</w:t>
      </w:r>
    </w:p>
    <w:p w14:paraId="7DBA734F">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10.0.5 低压配电系统设计宜按外区、缓冲区和内区分区设置。外区和缓冲区的配电箱（柜）、控制箱（柜）宜按区设置在专用配电间或设备机房内</w:t>
      </w:r>
      <w:r>
        <w:rPr>
          <w:rFonts w:hint="eastAsia" w:ascii="Times New Roman" w:hAnsi="Times New Roman" w:eastAsia="方正仿宋_GB2312" w:cs="Times New Roman"/>
          <w:b w:val="0"/>
          <w:bCs w:val="0"/>
          <w:color w:val="auto"/>
        </w:rPr>
        <w:t>，并</w:t>
      </w:r>
      <w:r>
        <w:rPr>
          <w:rFonts w:ascii="Times New Roman" w:hAnsi="Times New Roman" w:eastAsia="方正仿宋_GB2312" w:cs="Times New Roman"/>
          <w:b w:val="0"/>
          <w:bCs w:val="0"/>
          <w:color w:val="auto"/>
        </w:rPr>
        <w:t>应按功能分区配电、计量</w:t>
      </w:r>
      <w:r>
        <w:rPr>
          <w:rFonts w:hint="eastAsia" w:ascii="Times New Roman" w:hAnsi="Times New Roman" w:eastAsia="方正仿宋_GB2312" w:cs="Times New Roman"/>
          <w:b w:val="0"/>
          <w:bCs w:val="0"/>
          <w:color w:val="auto"/>
        </w:rPr>
        <w:t>。</w:t>
      </w:r>
      <w:r>
        <w:rPr>
          <w:rFonts w:ascii="Times New Roman" w:hAnsi="Times New Roman" w:eastAsia="方正仿宋_GB2312" w:cs="Times New Roman"/>
          <w:b w:val="0"/>
          <w:bCs w:val="0"/>
          <w:color w:val="auto"/>
        </w:rPr>
        <w:t>可燃材料仓库</w:t>
      </w:r>
      <w:r>
        <w:rPr>
          <w:rFonts w:hint="eastAsia" w:ascii="Times New Roman" w:hAnsi="Times New Roman" w:eastAsia="方正仿宋_GB2312" w:cs="Times New Roman"/>
          <w:b w:val="0"/>
          <w:bCs w:val="0"/>
          <w:color w:val="auto"/>
        </w:rPr>
        <w:t>的</w:t>
      </w:r>
      <w:r>
        <w:rPr>
          <w:rFonts w:ascii="Times New Roman" w:hAnsi="Times New Roman" w:eastAsia="方正仿宋_GB2312" w:cs="Times New Roman"/>
          <w:b w:val="0"/>
          <w:bCs w:val="0"/>
          <w:color w:val="auto"/>
        </w:rPr>
        <w:t>用电配电箱（柜）</w:t>
      </w:r>
      <w:r>
        <w:rPr>
          <w:rFonts w:hint="eastAsia" w:ascii="Times New Roman" w:hAnsi="Times New Roman" w:eastAsia="方正仿宋_GB2312" w:cs="Times New Roman"/>
          <w:b w:val="0"/>
          <w:bCs w:val="0"/>
          <w:color w:val="auto"/>
        </w:rPr>
        <w:t>、开关均</w:t>
      </w:r>
      <w:r>
        <w:rPr>
          <w:rFonts w:ascii="Times New Roman" w:hAnsi="Times New Roman" w:eastAsia="方正仿宋_GB2312" w:cs="Times New Roman"/>
          <w:b w:val="0"/>
          <w:bCs w:val="0"/>
          <w:color w:val="auto"/>
        </w:rPr>
        <w:t>应设置在仓库外。</w:t>
      </w:r>
    </w:p>
    <w:p w14:paraId="74E69DF9">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10.0.6 建筑物内的各级配电箱、柜应考虑“平时”和“急时”状态需要，预留充裕的出线开关容量</w:t>
      </w:r>
      <w:r>
        <w:rPr>
          <w:rFonts w:hint="eastAsia" w:ascii="Times New Roman" w:hAnsi="Times New Roman" w:eastAsia="方正仿宋_GB2312" w:cs="Times New Roman"/>
          <w:b w:val="0"/>
          <w:bCs w:val="0"/>
          <w:color w:val="auto"/>
        </w:rPr>
        <w:t>及</w:t>
      </w:r>
      <w:r>
        <w:rPr>
          <w:rFonts w:ascii="Times New Roman" w:hAnsi="Times New Roman" w:eastAsia="方正仿宋_GB2312" w:cs="Times New Roman"/>
          <w:b w:val="0"/>
          <w:bCs w:val="0"/>
          <w:color w:val="auto"/>
        </w:rPr>
        <w:t>馈电回路数。</w:t>
      </w:r>
    </w:p>
    <w:p w14:paraId="4E475876">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10.0.</w:t>
      </w:r>
      <w:r>
        <w:rPr>
          <w:rFonts w:hint="eastAsia" w:ascii="Times New Roman" w:hAnsi="Times New Roman" w:eastAsia="方正仿宋_GB2312" w:cs="Times New Roman"/>
          <w:b w:val="0"/>
          <w:bCs w:val="0"/>
          <w:color w:val="auto"/>
        </w:rPr>
        <w:t xml:space="preserve">7 </w:t>
      </w:r>
      <w:r>
        <w:rPr>
          <w:rFonts w:ascii="Times New Roman" w:hAnsi="Times New Roman" w:eastAsia="方正仿宋_GB2312" w:cs="Times New Roman"/>
          <w:b w:val="0"/>
          <w:bCs w:val="0"/>
          <w:color w:val="auto"/>
        </w:rPr>
        <w:t>既有建筑改造时应充分利用原有系统，当不能满足“急时”状态使用要求时,应进行改造。改造设计时新增临时配电箱、集中电源、控制柜等电气设备宜选用成套产品，确保转换方便快捷。</w:t>
      </w:r>
    </w:p>
    <w:p w14:paraId="22197C36">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10.0.</w:t>
      </w:r>
      <w:r>
        <w:rPr>
          <w:rFonts w:hint="eastAsia" w:ascii="Times New Roman" w:hAnsi="Times New Roman" w:eastAsia="方正仿宋_GB2312" w:cs="Times New Roman"/>
          <w:b w:val="0"/>
          <w:bCs w:val="0"/>
          <w:color w:val="auto"/>
        </w:rPr>
        <w:t xml:space="preserve">8 </w:t>
      </w:r>
      <w:r>
        <w:rPr>
          <w:rFonts w:ascii="Times New Roman" w:hAnsi="Times New Roman" w:eastAsia="方正仿宋_GB2312" w:cs="Times New Roman"/>
          <w:b w:val="0"/>
          <w:bCs w:val="0"/>
          <w:color w:val="auto"/>
        </w:rPr>
        <w:t>消防应急照明和疏散指示系统、火灾自动报警系统、消防设备配电系统等设计应考虑“急时”情况，方便进行转换或预留转换条件。</w:t>
      </w:r>
    </w:p>
    <w:p w14:paraId="46BEF92F">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10.0.</w:t>
      </w:r>
      <w:r>
        <w:rPr>
          <w:rFonts w:hint="eastAsia" w:ascii="Times New Roman" w:hAnsi="Times New Roman" w:eastAsia="方正仿宋_GB2312" w:cs="Times New Roman"/>
          <w:b w:val="0"/>
          <w:bCs w:val="0"/>
          <w:color w:val="auto"/>
        </w:rPr>
        <w:t>9</w:t>
      </w:r>
      <w:r>
        <w:rPr>
          <w:rFonts w:ascii="Times New Roman" w:hAnsi="Times New Roman" w:eastAsia="方正仿宋_GB2312" w:cs="Times New Roman"/>
          <w:b w:val="0"/>
          <w:bCs w:val="0"/>
          <w:color w:val="auto"/>
        </w:rPr>
        <w:t xml:space="preserve"> 室外照明应兼顾“平时”</w:t>
      </w:r>
      <w:r>
        <w:rPr>
          <w:rFonts w:hint="eastAsia" w:ascii="Times New Roman" w:hAnsi="Times New Roman" w:eastAsia="方正仿宋_GB2312" w:cs="Times New Roman"/>
          <w:b w:val="0"/>
          <w:bCs w:val="0"/>
          <w:color w:val="auto"/>
        </w:rPr>
        <w:t>仓储作业</w:t>
      </w:r>
      <w:r>
        <w:rPr>
          <w:rFonts w:ascii="Times New Roman" w:hAnsi="Times New Roman" w:eastAsia="方正仿宋_GB2312" w:cs="Times New Roman"/>
          <w:b w:val="0"/>
          <w:bCs w:val="0"/>
          <w:color w:val="auto"/>
        </w:rPr>
        <w:t>与“急时”</w:t>
      </w:r>
      <w:r>
        <w:rPr>
          <w:rFonts w:hint="eastAsia" w:ascii="Times New Roman" w:hAnsi="Times New Roman" w:eastAsia="方正仿宋_GB2312" w:cs="Times New Roman"/>
          <w:b w:val="0"/>
          <w:bCs w:val="0"/>
          <w:color w:val="auto"/>
        </w:rPr>
        <w:t>应急保障的需求</w:t>
      </w:r>
      <w:r>
        <w:rPr>
          <w:rFonts w:ascii="Times New Roman" w:hAnsi="Times New Roman" w:eastAsia="方正仿宋_GB2312" w:cs="Times New Roman"/>
          <w:b w:val="0"/>
          <w:bCs w:val="0"/>
          <w:color w:val="auto"/>
        </w:rPr>
        <w:t>。“急时”状态宜在室外重点区域增设专用室外照明灯具或预留电源接驳点，室外照明灯具防护等级不低于IP54。</w:t>
      </w:r>
    </w:p>
    <w:p w14:paraId="276A6A8D">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10.0.1</w:t>
      </w:r>
      <w:r>
        <w:rPr>
          <w:rFonts w:hint="eastAsia" w:ascii="Times New Roman" w:hAnsi="Times New Roman" w:eastAsia="方正仿宋_GB2312" w:cs="Times New Roman"/>
          <w:b w:val="0"/>
          <w:bCs w:val="0"/>
          <w:color w:val="auto"/>
        </w:rPr>
        <w:t>0</w:t>
      </w:r>
      <w:r>
        <w:rPr>
          <w:rFonts w:ascii="Times New Roman" w:hAnsi="Times New Roman" w:eastAsia="方正仿宋_GB2312" w:cs="Times New Roman"/>
          <w:b w:val="0"/>
          <w:bCs w:val="0"/>
          <w:color w:val="auto"/>
        </w:rPr>
        <w:t xml:space="preserve"> “急时”状态所需的等电位联结端子箱、配电线路的桥架及保护管等宜先期预留、预埋到位，但不应影响平时状态使用功能和建筑效果。</w:t>
      </w:r>
    </w:p>
    <w:p w14:paraId="38865AF8">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10.0.1</w:t>
      </w:r>
      <w:r>
        <w:rPr>
          <w:rFonts w:hint="eastAsia" w:ascii="Times New Roman" w:hAnsi="Times New Roman" w:eastAsia="方正仿宋_GB2312" w:cs="Times New Roman"/>
          <w:b w:val="0"/>
          <w:bCs w:val="0"/>
          <w:color w:val="auto"/>
        </w:rPr>
        <w:t xml:space="preserve">1 </w:t>
      </w:r>
      <w:r>
        <w:rPr>
          <w:rFonts w:ascii="Times New Roman" w:hAnsi="Times New Roman" w:eastAsia="方正仿宋_GB2312" w:cs="Times New Roman"/>
          <w:b w:val="0"/>
          <w:bCs w:val="0"/>
          <w:color w:val="auto"/>
        </w:rPr>
        <w:t>新建建筑和既有建筑改造部分所有电线电缆的燃烧性能、产烟毒性、燃烧滴落物/微粒等级以及火灾自动报警系统线缆的选型、敷设、燃烧性能、连续供电时间等，均应符合现行国家标准的规定。</w:t>
      </w:r>
    </w:p>
    <w:p w14:paraId="155CBB55">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10.0.1</w:t>
      </w:r>
      <w:r>
        <w:rPr>
          <w:rFonts w:hint="eastAsia" w:ascii="Times New Roman" w:hAnsi="Times New Roman" w:eastAsia="方正仿宋_GB2312" w:cs="Times New Roman"/>
          <w:b w:val="0"/>
          <w:bCs w:val="0"/>
          <w:color w:val="auto"/>
        </w:rPr>
        <w:t>2</w:t>
      </w:r>
      <w:r>
        <w:rPr>
          <w:rFonts w:ascii="Times New Roman" w:hAnsi="Times New Roman" w:eastAsia="方正仿宋_GB2312" w:cs="Times New Roman"/>
          <w:b w:val="0"/>
          <w:bCs w:val="0"/>
          <w:color w:val="auto"/>
        </w:rPr>
        <w:t xml:space="preserve"> 电气线路穿越“平时”防火分区及“急时”外区、缓冲区和内区隔墙的缝隙及槽口、管口应采用不燃材料可靠密封。</w:t>
      </w:r>
    </w:p>
    <w:p w14:paraId="2BFCE725">
      <w:pPr>
        <w:rPr>
          <w:rFonts w:ascii="宋体" w:hAnsi="宋体" w:eastAsia="宋体"/>
          <w:sz w:val="28"/>
          <w:szCs w:val="28"/>
        </w:rPr>
      </w:pPr>
      <w:r>
        <w:rPr>
          <w:rFonts w:ascii="宋体" w:hAnsi="宋体" w:eastAsia="宋体"/>
          <w:sz w:val="28"/>
          <w:szCs w:val="28"/>
        </w:rPr>
        <w:br w:type="page"/>
      </w:r>
    </w:p>
    <w:p w14:paraId="253B4832">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cs="Times New Roman"/>
          <w:b w:val="0"/>
          <w:snapToGrid w:val="0"/>
          <w:kern w:val="0"/>
          <w:sz w:val="40"/>
          <w:szCs w:val="40"/>
          <w:lang w:eastAsia="en-US"/>
        </w:rPr>
      </w:pPr>
      <w:r>
        <w:rPr>
          <w:rFonts w:ascii="Times New Roman" w:hAnsi="Times New Roman" w:eastAsia="黑体" w:cs="Times New Roman"/>
          <w:b w:val="0"/>
          <w:snapToGrid w:val="0"/>
          <w:kern w:val="0"/>
          <w:sz w:val="40"/>
          <w:szCs w:val="40"/>
          <w:lang w:eastAsia="en-US"/>
        </w:rPr>
        <w:t xml:space="preserve"> </w:t>
      </w:r>
      <w:bookmarkStart w:id="38" w:name="_Toc215675815"/>
      <w:r>
        <w:rPr>
          <w:rFonts w:ascii="Times New Roman" w:hAnsi="Times New Roman" w:eastAsia="黑体" w:cs="Times New Roman"/>
          <w:b w:val="0"/>
          <w:snapToGrid w:val="0"/>
          <w:kern w:val="0"/>
          <w:sz w:val="40"/>
          <w:szCs w:val="40"/>
          <w:lang w:eastAsia="en-US"/>
        </w:rPr>
        <w:t xml:space="preserve">11 </w:t>
      </w:r>
      <w:r>
        <w:rPr>
          <w:rFonts w:hint="eastAsia" w:ascii="Times New Roman" w:hAnsi="Times New Roman" w:eastAsia="黑体" w:cs="Times New Roman"/>
          <w:b w:val="0"/>
          <w:snapToGrid w:val="0"/>
          <w:kern w:val="0"/>
          <w:sz w:val="40"/>
          <w:szCs w:val="40"/>
        </w:rPr>
        <w:t xml:space="preserve"> </w:t>
      </w:r>
      <w:r>
        <w:rPr>
          <w:rFonts w:ascii="Times New Roman" w:hAnsi="Times New Roman" w:eastAsia="黑体" w:cs="Times New Roman"/>
          <w:b w:val="0"/>
          <w:snapToGrid w:val="0"/>
          <w:kern w:val="0"/>
          <w:sz w:val="40"/>
          <w:szCs w:val="40"/>
          <w:lang w:eastAsia="en-US"/>
        </w:rPr>
        <w:t>智能化</w:t>
      </w:r>
      <w:bookmarkEnd w:id="38"/>
    </w:p>
    <w:p w14:paraId="65FEA4DB">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cs="Times New Roman"/>
          <w:b w:val="0"/>
          <w:snapToGrid w:val="0"/>
          <w:kern w:val="0"/>
          <w:sz w:val="40"/>
          <w:szCs w:val="40"/>
          <w:lang w:eastAsia="en-US"/>
        </w:rPr>
      </w:pPr>
    </w:p>
    <w:p w14:paraId="0C32E128">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11.0.1</w:t>
      </w:r>
      <w:r>
        <w:rPr>
          <w:rFonts w:hint="eastAsia" w:ascii="Times New Roman" w:hAnsi="Times New Roman" w:eastAsia="方正仿宋_GB2312" w:cs="Times New Roman"/>
          <w:b w:val="0"/>
          <w:bCs w:val="0"/>
          <w:color w:val="auto"/>
        </w:rPr>
        <w:t xml:space="preserve"> </w:t>
      </w:r>
      <w:r>
        <w:rPr>
          <w:rFonts w:ascii="Times New Roman" w:hAnsi="Times New Roman" w:eastAsia="方正仿宋_GB2312" w:cs="Times New Roman"/>
          <w:b w:val="0"/>
          <w:bCs w:val="0"/>
          <w:color w:val="auto"/>
        </w:rPr>
        <w:t>信息接入系统</w:t>
      </w:r>
      <w:r>
        <w:rPr>
          <w:rFonts w:hint="eastAsia" w:ascii="Times New Roman" w:hAnsi="Times New Roman" w:eastAsia="方正仿宋_GB2312" w:cs="Times New Roman"/>
          <w:b w:val="0"/>
          <w:bCs w:val="0"/>
          <w:color w:val="auto"/>
        </w:rPr>
        <w:t>宜采用</w:t>
      </w:r>
      <w:r>
        <w:rPr>
          <w:rFonts w:ascii="Times New Roman" w:hAnsi="Times New Roman" w:eastAsia="方正仿宋_GB2312" w:cs="Times New Roman"/>
          <w:b w:val="0"/>
          <w:bCs w:val="0"/>
          <w:color w:val="auto"/>
        </w:rPr>
        <w:t>双路由进线</w:t>
      </w:r>
      <w:r>
        <w:rPr>
          <w:rFonts w:hint="eastAsia" w:ascii="Times New Roman" w:hAnsi="Times New Roman" w:eastAsia="方正仿宋_GB2312" w:cs="Times New Roman"/>
          <w:b w:val="0"/>
          <w:bCs w:val="0"/>
          <w:color w:val="auto"/>
        </w:rPr>
        <w:t>方式</w:t>
      </w:r>
      <w:r>
        <w:rPr>
          <w:rFonts w:ascii="Times New Roman" w:hAnsi="Times New Roman" w:eastAsia="方正仿宋_GB2312" w:cs="Times New Roman"/>
          <w:b w:val="0"/>
          <w:bCs w:val="0"/>
          <w:color w:val="auto"/>
        </w:rPr>
        <w:t>，保证应急状态下网络</w:t>
      </w:r>
      <w:r>
        <w:rPr>
          <w:rFonts w:hint="eastAsia" w:ascii="Times New Roman" w:hAnsi="Times New Roman" w:eastAsia="方正仿宋_GB2312" w:cs="Times New Roman"/>
          <w:b w:val="0"/>
          <w:bCs w:val="0"/>
          <w:color w:val="auto"/>
        </w:rPr>
        <w:t>系统稳定</w:t>
      </w:r>
      <w:r>
        <w:rPr>
          <w:rFonts w:ascii="Times New Roman" w:hAnsi="Times New Roman" w:eastAsia="方正仿宋_GB2312" w:cs="Times New Roman"/>
          <w:b w:val="0"/>
          <w:bCs w:val="0"/>
          <w:color w:val="auto"/>
        </w:rPr>
        <w:t>运行。应合理预留与交通运输管理部门、上级疾控中心、应急指挥中心、政府相应管理部门等的专用通信接口。</w:t>
      </w:r>
      <w:r>
        <w:rPr>
          <w:rFonts w:hint="eastAsia" w:ascii="Times New Roman" w:hAnsi="Times New Roman" w:eastAsia="方正仿宋_GB2312" w:cs="Times New Roman"/>
          <w:b w:val="0"/>
          <w:bCs w:val="0"/>
          <w:color w:val="auto"/>
        </w:rPr>
        <w:t>接口协议适配区域应急联动标准，满足物资调度、人员管控的通信要求。</w:t>
      </w:r>
    </w:p>
    <w:p w14:paraId="16F47155">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11.0.2</w:t>
      </w:r>
      <w:r>
        <w:rPr>
          <w:rFonts w:hint="eastAsia" w:ascii="Times New Roman" w:hAnsi="Times New Roman" w:eastAsia="方正仿宋_GB2312" w:cs="Times New Roman"/>
          <w:b w:val="0"/>
          <w:bCs w:val="0"/>
          <w:color w:val="auto"/>
        </w:rPr>
        <w:t xml:space="preserve"> </w:t>
      </w:r>
      <w:r>
        <w:rPr>
          <w:rFonts w:ascii="Times New Roman" w:hAnsi="Times New Roman" w:eastAsia="方正仿宋_GB2312" w:cs="Times New Roman"/>
          <w:b w:val="0"/>
          <w:bCs w:val="0"/>
          <w:color w:val="auto"/>
        </w:rPr>
        <w:t>应设置移动通信室内信号覆盖系统和无线AP系统，实现 4G 或 5G、WiFi 无线网络全覆盖，提供设备无线接入网络的条件，并为平急转换预留冗余接入能力。</w:t>
      </w:r>
    </w:p>
    <w:p w14:paraId="3AAC8D64">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11.0.3 信息网络系统</w:t>
      </w:r>
      <w:r>
        <w:rPr>
          <w:rFonts w:hint="eastAsia" w:ascii="Times New Roman" w:hAnsi="Times New Roman" w:eastAsia="方正仿宋_GB2312" w:cs="Times New Roman"/>
          <w:b w:val="0"/>
          <w:bCs w:val="0"/>
          <w:color w:val="auto"/>
        </w:rPr>
        <w:t>宜</w:t>
      </w:r>
      <w:r>
        <w:rPr>
          <w:rFonts w:ascii="Times New Roman" w:hAnsi="Times New Roman" w:eastAsia="方正仿宋_GB2312" w:cs="Times New Roman"/>
          <w:b w:val="0"/>
          <w:bCs w:val="0"/>
          <w:color w:val="auto"/>
        </w:rPr>
        <w:t>按照区域化、模块化的架构设计，不同区域应设置独立汇聚点，每个区域设置网络汇聚交换机、单独敷设光纤，</w:t>
      </w:r>
      <w:r>
        <w:rPr>
          <w:rFonts w:hint="eastAsia" w:ascii="Times New Roman" w:hAnsi="Times New Roman" w:eastAsia="方正仿宋_GB2312" w:cs="Times New Roman"/>
          <w:b w:val="0"/>
          <w:bCs w:val="0"/>
          <w:color w:val="auto"/>
        </w:rPr>
        <w:t>便于</w:t>
      </w:r>
      <w:r>
        <w:rPr>
          <w:rFonts w:ascii="Times New Roman" w:hAnsi="Times New Roman" w:eastAsia="方正仿宋_GB2312" w:cs="Times New Roman"/>
          <w:b w:val="0"/>
          <w:bCs w:val="0"/>
          <w:color w:val="auto"/>
        </w:rPr>
        <w:t>应急状态下，</w:t>
      </w:r>
      <w:r>
        <w:rPr>
          <w:rFonts w:hint="eastAsia" w:ascii="Times New Roman" w:hAnsi="Times New Roman" w:eastAsia="方正仿宋_GB2312" w:cs="Times New Roman"/>
          <w:b w:val="0"/>
          <w:bCs w:val="0"/>
          <w:color w:val="auto"/>
        </w:rPr>
        <w:t>重新</w:t>
      </w:r>
      <w:r>
        <w:rPr>
          <w:rFonts w:ascii="Times New Roman" w:hAnsi="Times New Roman" w:eastAsia="方正仿宋_GB2312" w:cs="Times New Roman"/>
          <w:b w:val="0"/>
          <w:bCs w:val="0"/>
          <w:color w:val="auto"/>
        </w:rPr>
        <w:t>组网。</w:t>
      </w:r>
    </w:p>
    <w:p w14:paraId="08B9020F">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11.0.4</w:t>
      </w:r>
      <w:r>
        <w:rPr>
          <w:rFonts w:hint="eastAsia" w:ascii="Times New Roman" w:hAnsi="Times New Roman" w:eastAsia="方正仿宋_GB2312" w:cs="Times New Roman"/>
          <w:b w:val="0"/>
          <w:bCs w:val="0"/>
          <w:color w:val="auto"/>
        </w:rPr>
        <w:t xml:space="preserve"> </w:t>
      </w:r>
      <w:r>
        <w:rPr>
          <w:rFonts w:ascii="Times New Roman" w:hAnsi="Times New Roman" w:eastAsia="方正仿宋_GB2312" w:cs="Times New Roman"/>
          <w:b w:val="0"/>
          <w:bCs w:val="0"/>
          <w:color w:val="auto"/>
        </w:rPr>
        <w:t>既有设施进行“平急两用”智能化改造设计时，在确保无线通信系统满足使用要求的前提下，新建智能化系统宜</w:t>
      </w:r>
      <w:r>
        <w:rPr>
          <w:rFonts w:hint="eastAsia" w:ascii="Times New Roman" w:hAnsi="Times New Roman" w:eastAsia="方正仿宋_GB2312" w:cs="Times New Roman"/>
          <w:b w:val="0"/>
          <w:bCs w:val="0"/>
          <w:color w:val="auto"/>
        </w:rPr>
        <w:t>优先</w:t>
      </w:r>
      <w:r>
        <w:rPr>
          <w:rFonts w:ascii="Times New Roman" w:hAnsi="Times New Roman" w:eastAsia="方正仿宋_GB2312" w:cs="Times New Roman"/>
          <w:b w:val="0"/>
          <w:bCs w:val="0"/>
          <w:color w:val="auto"/>
        </w:rPr>
        <w:t>采用无线传输架构</w:t>
      </w:r>
      <w:r>
        <w:rPr>
          <w:rFonts w:hint="eastAsia" w:ascii="Times New Roman" w:hAnsi="Times New Roman" w:eastAsia="方正仿宋_GB2312" w:cs="Times New Roman"/>
          <w:b w:val="0"/>
          <w:bCs w:val="0"/>
          <w:color w:val="auto"/>
        </w:rPr>
        <w:t>，减少对原有设施的影响</w:t>
      </w:r>
      <w:r>
        <w:rPr>
          <w:rFonts w:ascii="Times New Roman" w:hAnsi="Times New Roman" w:eastAsia="方正仿宋_GB2312" w:cs="Times New Roman"/>
          <w:b w:val="0"/>
          <w:bCs w:val="0"/>
          <w:color w:val="auto"/>
        </w:rPr>
        <w:t>。</w:t>
      </w:r>
    </w:p>
    <w:p w14:paraId="3C90ACED">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11.0.5</w:t>
      </w:r>
      <w:r>
        <w:rPr>
          <w:rFonts w:hint="eastAsia" w:ascii="Times New Roman" w:hAnsi="Times New Roman" w:eastAsia="方正仿宋_GB2312" w:cs="Times New Roman"/>
          <w:b w:val="0"/>
          <w:bCs w:val="0"/>
          <w:color w:val="auto"/>
        </w:rPr>
        <w:t xml:space="preserve"> </w:t>
      </w:r>
      <w:r>
        <w:rPr>
          <w:rFonts w:ascii="Times New Roman" w:hAnsi="Times New Roman" w:eastAsia="方正仿宋_GB2312" w:cs="Times New Roman"/>
          <w:b w:val="0"/>
          <w:bCs w:val="0"/>
          <w:color w:val="auto"/>
        </w:rPr>
        <w:t>公共广播系统宜按照外区、缓冲区、内区功能分区划分广播回路。公共广播系统应兼顾“平时”和“急时”状态，当发生紧急状况时应自动切换至应急广播状态。广播声压级应满足国家规范标准的要求。</w:t>
      </w:r>
    </w:p>
    <w:p w14:paraId="1546D1C6">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11.0.6</w:t>
      </w:r>
      <w:r>
        <w:rPr>
          <w:rFonts w:hint="eastAsia" w:ascii="Times New Roman" w:hAnsi="Times New Roman" w:eastAsia="方正仿宋_GB2312" w:cs="Times New Roman"/>
          <w:b w:val="0"/>
          <w:bCs w:val="0"/>
          <w:color w:val="auto"/>
        </w:rPr>
        <w:t xml:space="preserve"> 宜</w:t>
      </w:r>
      <w:r>
        <w:rPr>
          <w:rFonts w:ascii="Times New Roman" w:hAnsi="Times New Roman" w:eastAsia="方正仿宋_GB2312" w:cs="Times New Roman"/>
          <w:b w:val="0"/>
          <w:bCs w:val="0"/>
          <w:color w:val="auto"/>
        </w:rPr>
        <w:t>设置视频监控系统，在外区、缓冲区、内区、三区人员出入口、车辆出入口、室外出入口、主干道、周界、重要机房等区域均应无死角设置监控摄像机</w:t>
      </w:r>
      <w:r>
        <w:rPr>
          <w:rFonts w:hint="eastAsia" w:ascii="Times New Roman" w:hAnsi="Times New Roman" w:eastAsia="方正仿宋_GB2312" w:cs="Times New Roman"/>
          <w:b w:val="0"/>
          <w:bCs w:val="0"/>
          <w:color w:val="auto"/>
        </w:rPr>
        <w:t>。</w:t>
      </w:r>
      <w:r>
        <w:rPr>
          <w:rFonts w:ascii="Times New Roman" w:hAnsi="Times New Roman" w:eastAsia="方正仿宋_GB2312" w:cs="Times New Roman"/>
          <w:b w:val="0"/>
          <w:bCs w:val="0"/>
          <w:color w:val="auto"/>
        </w:rPr>
        <w:t>外区及缓冲区入口处宜预留人脸识别系统接口，人脸识别前端设备宜具有体温监测功能，必要时可设置数据联动设备实现人员信息快速筛查。</w:t>
      </w:r>
    </w:p>
    <w:p w14:paraId="58EA4BF4">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11.0.7</w:t>
      </w:r>
      <w:r>
        <w:rPr>
          <w:rFonts w:hint="eastAsia" w:ascii="Times New Roman" w:hAnsi="Times New Roman" w:eastAsia="方正仿宋_GB2312" w:cs="Times New Roman"/>
          <w:b w:val="0"/>
          <w:bCs w:val="0"/>
          <w:color w:val="auto"/>
        </w:rPr>
        <w:t xml:space="preserve"> </w:t>
      </w:r>
      <w:r>
        <w:rPr>
          <w:rFonts w:ascii="Times New Roman" w:hAnsi="Times New Roman" w:eastAsia="方正仿宋_GB2312" w:cs="Times New Roman"/>
          <w:b w:val="0"/>
          <w:bCs w:val="0"/>
          <w:color w:val="auto"/>
        </w:rPr>
        <w:t>出入口控制系统应根据管理流线和隔离区域设置，采用非接触式控制方式。宜与视频监控系统、入侵报警系统等联动。卫生通过区应设置互锁功能的门禁控制系统。隔离</w:t>
      </w:r>
      <w:r>
        <w:rPr>
          <w:rFonts w:hint="eastAsia" w:ascii="Times New Roman" w:hAnsi="Times New Roman" w:eastAsia="方正仿宋_GB2312" w:cs="Times New Roman"/>
          <w:b w:val="0"/>
          <w:bCs w:val="0"/>
          <w:color w:val="auto"/>
        </w:rPr>
        <w:t>房间</w:t>
      </w:r>
      <w:r>
        <w:rPr>
          <w:rFonts w:ascii="Times New Roman" w:hAnsi="Times New Roman" w:eastAsia="方正仿宋_GB2312" w:cs="Times New Roman"/>
          <w:b w:val="0"/>
          <w:bCs w:val="0"/>
          <w:color w:val="auto"/>
        </w:rPr>
        <w:t>宜设置房门开启报警系统或预留安装条件</w:t>
      </w:r>
      <w:r>
        <w:rPr>
          <w:rFonts w:hint="eastAsia" w:ascii="Times New Roman" w:hAnsi="Times New Roman" w:eastAsia="方正仿宋_GB2312" w:cs="Times New Roman"/>
          <w:b w:val="0"/>
          <w:bCs w:val="0"/>
          <w:color w:val="auto"/>
        </w:rPr>
        <w:t>，</w:t>
      </w:r>
      <w:r>
        <w:rPr>
          <w:rFonts w:ascii="Times New Roman" w:hAnsi="Times New Roman" w:eastAsia="方正仿宋_GB2312" w:cs="Times New Roman"/>
          <w:b w:val="0"/>
          <w:bCs w:val="0"/>
          <w:color w:val="auto"/>
        </w:rPr>
        <w:t>“急时”启用</w:t>
      </w:r>
      <w:r>
        <w:rPr>
          <w:rFonts w:hint="eastAsia" w:ascii="Times New Roman" w:hAnsi="Times New Roman" w:eastAsia="方正仿宋_GB2312" w:cs="Times New Roman"/>
          <w:b w:val="0"/>
          <w:bCs w:val="0"/>
          <w:color w:val="auto"/>
        </w:rPr>
        <w:t>。</w:t>
      </w:r>
      <w:r>
        <w:rPr>
          <w:rFonts w:ascii="Times New Roman" w:hAnsi="Times New Roman" w:eastAsia="方正仿宋_GB2312" w:cs="Times New Roman"/>
          <w:b w:val="0"/>
          <w:bCs w:val="0"/>
          <w:color w:val="auto"/>
        </w:rPr>
        <w:t>当隔离人员未经许可打开房门时，报警信息传入值班室。</w:t>
      </w:r>
    </w:p>
    <w:p w14:paraId="2F70C43B">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11.0.8</w:t>
      </w:r>
      <w:r>
        <w:rPr>
          <w:rFonts w:ascii="Times New Roman" w:hAnsi="Times New Roman" w:eastAsia="方正仿宋_GB2312" w:cs="Times New Roman"/>
          <w:b w:val="0"/>
          <w:bCs w:val="0"/>
          <w:color w:val="auto"/>
        </w:rPr>
        <w:t xml:space="preserve"> </w:t>
      </w:r>
      <w:r>
        <w:rPr>
          <w:rFonts w:hint="eastAsia" w:ascii="Times New Roman" w:hAnsi="Times New Roman" w:eastAsia="方正仿宋_GB2312" w:cs="Times New Roman"/>
          <w:b w:val="0"/>
          <w:bCs w:val="0"/>
          <w:color w:val="auto"/>
        </w:rPr>
        <w:t>建筑内“平时”和“急时”设置了门禁系统的疏散门，应保证火灾时能通过消防联动控制器或其他自动解锁装置快速解除门禁。</w:t>
      </w:r>
    </w:p>
    <w:p w14:paraId="1424D730">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11.0.</w:t>
      </w:r>
      <w:r>
        <w:rPr>
          <w:rFonts w:hint="eastAsia" w:ascii="Times New Roman" w:hAnsi="Times New Roman" w:eastAsia="方正仿宋_GB2312" w:cs="Times New Roman"/>
          <w:b w:val="0"/>
          <w:bCs w:val="0"/>
          <w:color w:val="auto"/>
        </w:rPr>
        <w:t xml:space="preserve">9 </w:t>
      </w:r>
      <w:r>
        <w:rPr>
          <w:rFonts w:ascii="Times New Roman" w:hAnsi="Times New Roman" w:eastAsia="方正仿宋_GB2312" w:cs="Times New Roman"/>
          <w:b w:val="0"/>
          <w:bCs w:val="0"/>
          <w:color w:val="auto"/>
        </w:rPr>
        <w:t>卫生通过区有穿戴和脱卸功能的房间内</w:t>
      </w:r>
      <w:r>
        <w:rPr>
          <w:rFonts w:hint="eastAsia" w:ascii="Times New Roman" w:hAnsi="Times New Roman" w:eastAsia="方正仿宋_GB2312" w:cs="Times New Roman"/>
          <w:b w:val="0"/>
          <w:bCs w:val="0"/>
          <w:color w:val="auto"/>
        </w:rPr>
        <w:t>宜</w:t>
      </w:r>
      <w:r>
        <w:rPr>
          <w:rFonts w:ascii="Times New Roman" w:hAnsi="Times New Roman" w:eastAsia="方正仿宋_GB2312" w:cs="Times New Roman"/>
          <w:b w:val="0"/>
          <w:bCs w:val="0"/>
          <w:color w:val="auto"/>
        </w:rPr>
        <w:t>设置双向对讲系统或预留安装条件，可实现穿戴和脱卸间内与本地控制室实时双向对讲功能。对讲功能宜通过非接触式方式开启。</w:t>
      </w:r>
    </w:p>
    <w:p w14:paraId="6460186A">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11.0.</w:t>
      </w:r>
      <w:r>
        <w:rPr>
          <w:rFonts w:hint="eastAsia" w:ascii="Times New Roman" w:hAnsi="Times New Roman" w:eastAsia="方正仿宋_GB2312" w:cs="Times New Roman"/>
          <w:b w:val="0"/>
          <w:bCs w:val="0"/>
          <w:color w:val="auto"/>
        </w:rPr>
        <w:t>10</w:t>
      </w:r>
      <w:r>
        <w:rPr>
          <w:rFonts w:ascii="Times New Roman" w:hAnsi="Times New Roman" w:eastAsia="方正仿宋_GB2312" w:cs="Times New Roman"/>
          <w:b w:val="0"/>
          <w:bCs w:val="0"/>
          <w:color w:val="auto"/>
        </w:rPr>
        <w:t xml:space="preserve"> 人货隔离区</w:t>
      </w:r>
      <w:r>
        <w:rPr>
          <w:rFonts w:hint="eastAsia" w:ascii="Times New Roman" w:hAnsi="Times New Roman" w:eastAsia="方正仿宋_GB2312" w:cs="Times New Roman"/>
          <w:b w:val="0"/>
          <w:bCs w:val="0"/>
          <w:color w:val="auto"/>
        </w:rPr>
        <w:t>宜</w:t>
      </w:r>
      <w:r>
        <w:rPr>
          <w:rFonts w:ascii="Times New Roman" w:hAnsi="Times New Roman" w:eastAsia="方正仿宋_GB2312" w:cs="Times New Roman"/>
          <w:b w:val="0"/>
          <w:bCs w:val="0"/>
          <w:color w:val="auto"/>
        </w:rPr>
        <w:t>预留双向对讲系统管线，宜在隔离区的值班室预留对讲主机使用的网络通信接口和电源插座。</w:t>
      </w:r>
    </w:p>
    <w:p w14:paraId="55957B64">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11.0.1</w:t>
      </w:r>
      <w:r>
        <w:rPr>
          <w:rFonts w:hint="eastAsia" w:ascii="Times New Roman" w:hAnsi="Times New Roman" w:eastAsia="方正仿宋_GB2312" w:cs="Times New Roman"/>
          <w:b w:val="0"/>
          <w:bCs w:val="0"/>
          <w:color w:val="auto"/>
        </w:rPr>
        <w:t xml:space="preserve">1 </w:t>
      </w:r>
      <w:r>
        <w:rPr>
          <w:rFonts w:ascii="Times New Roman" w:hAnsi="Times New Roman" w:eastAsia="方正仿宋_GB2312" w:cs="Times New Roman"/>
          <w:b w:val="0"/>
          <w:bCs w:val="0"/>
          <w:color w:val="auto"/>
        </w:rPr>
        <w:t>宜设置</w:t>
      </w:r>
      <w:bookmarkStart w:id="39" w:name="OLE_LINK33"/>
      <w:bookmarkStart w:id="40" w:name="OLE_LINK32"/>
      <w:r>
        <w:rPr>
          <w:rFonts w:hint="eastAsia" w:ascii="Times New Roman" w:hAnsi="Times New Roman" w:eastAsia="方正仿宋_GB2312" w:cs="Times New Roman"/>
          <w:b w:val="0"/>
          <w:bCs w:val="0"/>
          <w:color w:val="auto"/>
        </w:rPr>
        <w:t>“</w:t>
      </w:r>
      <w:r>
        <w:rPr>
          <w:rFonts w:ascii="Times New Roman" w:hAnsi="Times New Roman" w:eastAsia="方正仿宋_GB2312" w:cs="Times New Roman"/>
          <w:b w:val="0"/>
          <w:bCs w:val="0"/>
          <w:color w:val="auto"/>
        </w:rPr>
        <w:t>急时</w:t>
      </w:r>
      <w:r>
        <w:rPr>
          <w:rFonts w:hint="eastAsia" w:ascii="Times New Roman" w:hAnsi="Times New Roman" w:eastAsia="方正仿宋_GB2312" w:cs="Times New Roman"/>
          <w:b w:val="0"/>
          <w:bCs w:val="0"/>
          <w:color w:val="auto"/>
        </w:rPr>
        <w:t>”</w:t>
      </w:r>
      <w:bookmarkEnd w:id="39"/>
      <w:bookmarkEnd w:id="40"/>
      <w:r>
        <w:rPr>
          <w:rFonts w:ascii="Times New Roman" w:hAnsi="Times New Roman" w:eastAsia="方正仿宋_GB2312" w:cs="Times New Roman"/>
          <w:b w:val="0"/>
          <w:bCs w:val="0"/>
          <w:color w:val="auto"/>
        </w:rPr>
        <w:t>建筑设备监控系统，对污染废弃物较多的区域及</w:t>
      </w:r>
      <w:r>
        <w:rPr>
          <w:rFonts w:hint="eastAsia" w:ascii="Times New Roman" w:hAnsi="Times New Roman" w:eastAsia="方正仿宋_GB2312" w:cs="Times New Roman"/>
          <w:b w:val="0"/>
          <w:bCs w:val="0"/>
          <w:color w:val="auto"/>
        </w:rPr>
        <w:t>“</w:t>
      </w:r>
      <w:r>
        <w:rPr>
          <w:rFonts w:ascii="Times New Roman" w:hAnsi="Times New Roman" w:eastAsia="方正仿宋_GB2312" w:cs="Times New Roman"/>
          <w:b w:val="0"/>
          <w:bCs w:val="0"/>
          <w:color w:val="auto"/>
        </w:rPr>
        <w:t>急时</w:t>
      </w:r>
      <w:r>
        <w:rPr>
          <w:rFonts w:hint="eastAsia" w:ascii="Times New Roman" w:hAnsi="Times New Roman" w:eastAsia="方正仿宋_GB2312" w:cs="Times New Roman"/>
          <w:b w:val="0"/>
          <w:bCs w:val="0"/>
          <w:color w:val="auto"/>
        </w:rPr>
        <w:t>”</w:t>
      </w:r>
      <w:r>
        <w:rPr>
          <w:rFonts w:ascii="Times New Roman" w:hAnsi="Times New Roman" w:eastAsia="方正仿宋_GB2312" w:cs="Times New Roman"/>
          <w:b w:val="0"/>
          <w:bCs w:val="0"/>
          <w:color w:val="auto"/>
        </w:rPr>
        <w:t>使用的通风换气系统宜采用集中控制和联动控制及工作状态远程监测的方式。</w:t>
      </w:r>
    </w:p>
    <w:p w14:paraId="2451909A">
      <w:pPr>
        <w:rPr>
          <w:rFonts w:ascii="宋体" w:hAnsi="宋体" w:eastAsia="宋体"/>
          <w:sz w:val="28"/>
          <w:szCs w:val="28"/>
        </w:rPr>
      </w:pPr>
      <w:r>
        <w:rPr>
          <w:rFonts w:ascii="宋体" w:hAnsi="宋体" w:eastAsia="宋体"/>
          <w:sz w:val="28"/>
          <w:szCs w:val="28"/>
        </w:rPr>
        <w:br w:type="page"/>
      </w:r>
    </w:p>
    <w:p w14:paraId="3ECF9B1F">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cs="Times New Roman"/>
          <w:b w:val="0"/>
          <w:snapToGrid w:val="0"/>
          <w:kern w:val="0"/>
          <w:sz w:val="40"/>
          <w:szCs w:val="40"/>
          <w:lang w:eastAsia="en-US"/>
        </w:rPr>
      </w:pPr>
      <w:bookmarkStart w:id="41" w:name="_Toc215675816"/>
      <w:r>
        <w:rPr>
          <w:rFonts w:ascii="Times New Roman" w:hAnsi="Times New Roman" w:eastAsia="黑体" w:cs="Times New Roman"/>
          <w:b w:val="0"/>
          <w:snapToGrid w:val="0"/>
          <w:kern w:val="0"/>
          <w:sz w:val="40"/>
          <w:szCs w:val="40"/>
          <w:lang w:eastAsia="en-US"/>
        </w:rPr>
        <w:t xml:space="preserve">12  </w:t>
      </w:r>
      <w:r>
        <w:rPr>
          <w:rFonts w:hint="eastAsia" w:ascii="Times New Roman" w:hAnsi="Times New Roman" w:eastAsia="黑体" w:cs="Times New Roman"/>
          <w:b w:val="0"/>
          <w:snapToGrid w:val="0"/>
          <w:kern w:val="0"/>
          <w:sz w:val="40"/>
          <w:szCs w:val="40"/>
        </w:rPr>
        <w:t>平急</w:t>
      </w:r>
      <w:r>
        <w:rPr>
          <w:rFonts w:hint="eastAsia" w:ascii="Times New Roman" w:hAnsi="Times New Roman" w:eastAsia="黑体" w:cs="Times New Roman"/>
          <w:b w:val="0"/>
          <w:snapToGrid w:val="0"/>
          <w:kern w:val="0"/>
          <w:sz w:val="40"/>
          <w:szCs w:val="40"/>
          <w:lang w:eastAsia="en-US"/>
        </w:rPr>
        <w:t>转</w:t>
      </w:r>
      <w:r>
        <w:rPr>
          <w:rFonts w:hint="eastAsia" w:ascii="Times New Roman" w:hAnsi="Times New Roman" w:eastAsia="黑体" w:cs="Times New Roman"/>
          <w:b w:val="0"/>
          <w:snapToGrid w:val="0"/>
          <w:kern w:val="0"/>
          <w:sz w:val="40"/>
          <w:szCs w:val="40"/>
        </w:rPr>
        <w:t>换</w:t>
      </w:r>
      <w:bookmarkEnd w:id="41"/>
    </w:p>
    <w:p w14:paraId="331239F5">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cs="Times New Roman"/>
          <w:b w:val="0"/>
          <w:snapToGrid w:val="0"/>
          <w:kern w:val="0"/>
          <w:sz w:val="40"/>
          <w:szCs w:val="40"/>
          <w:lang w:eastAsia="en-US"/>
        </w:rPr>
      </w:pPr>
    </w:p>
    <w:p w14:paraId="5D464D1C">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12.</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1 “平急两用”公共基础设施的平急转换应快速、顺畅，转换前、后应满足相关政策规范要求。</w:t>
      </w:r>
    </w:p>
    <w:p w14:paraId="6D091498">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12.</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2</w:t>
      </w:r>
      <w:r>
        <w:rPr>
          <w:rFonts w:ascii="Times New Roman" w:hAnsi="Times New Roman" w:eastAsia="方正仿宋_GB2312" w:cs="Times New Roman"/>
          <w:b w:val="0"/>
          <w:bCs w:val="0"/>
          <w:color w:val="auto"/>
        </w:rPr>
        <w:t xml:space="preserve"> </w:t>
      </w:r>
      <w:r>
        <w:rPr>
          <w:rFonts w:hint="eastAsia" w:ascii="Times New Roman" w:hAnsi="Times New Roman" w:eastAsia="方正仿宋_GB2312" w:cs="Times New Roman"/>
          <w:b w:val="0"/>
          <w:bCs w:val="0"/>
          <w:color w:val="auto"/>
        </w:rPr>
        <w:t>“平急”转换应遵循以下基本原则：</w:t>
      </w:r>
    </w:p>
    <w:p w14:paraId="1067FADD">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lang w:eastAsia="zh-CN"/>
        </w:rPr>
        <w:t>1</w:t>
      </w:r>
      <w:r>
        <w:rPr>
          <w:rFonts w:ascii="Times New Roman" w:hAnsi="Times New Roman" w:eastAsia="方正仿宋_GB2312" w:cs="Times New Roman"/>
          <w:b w:val="0"/>
          <w:bCs w:val="0"/>
          <w:color w:val="auto"/>
          <w:lang w:eastAsia="zh-CN"/>
        </w:rPr>
        <w:t>2.0.2.1</w:t>
      </w:r>
      <w:r>
        <w:rPr>
          <w:rFonts w:hint="eastAsia" w:ascii="Times New Roman" w:hAnsi="Times New Roman" w:eastAsia="方正仿宋_GB2312" w:cs="Times New Roman"/>
          <w:b w:val="0"/>
          <w:bCs w:val="0"/>
          <w:color w:val="auto"/>
        </w:rPr>
        <w:t xml:space="preserve"> “平急”转换时应充分利用原平面格局，便于复原可逆；</w:t>
      </w:r>
    </w:p>
    <w:p w14:paraId="000FBCA4">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lang w:eastAsia="zh-CN"/>
        </w:rPr>
        <w:t>1</w:t>
      </w:r>
      <w:r>
        <w:rPr>
          <w:rFonts w:ascii="Times New Roman" w:hAnsi="Times New Roman" w:eastAsia="方正仿宋_GB2312" w:cs="Times New Roman"/>
          <w:b w:val="0"/>
          <w:bCs w:val="0"/>
          <w:color w:val="auto"/>
          <w:lang w:eastAsia="zh-CN"/>
        </w:rPr>
        <w:t>2.0.2.2</w:t>
      </w:r>
      <w:r>
        <w:rPr>
          <w:rFonts w:hint="eastAsia" w:ascii="Times New Roman" w:hAnsi="Times New Roman" w:eastAsia="方正仿宋_GB2312" w:cs="Times New Roman"/>
          <w:b w:val="0"/>
          <w:bCs w:val="0"/>
          <w:color w:val="auto"/>
        </w:rPr>
        <w:t xml:space="preserve"> “平急”转换时宜尽量沿用原有建筑构件；</w:t>
      </w:r>
    </w:p>
    <w:p w14:paraId="76C49693">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lang w:eastAsia="zh-CN"/>
        </w:rPr>
        <w:t>1</w:t>
      </w:r>
      <w:r>
        <w:rPr>
          <w:rFonts w:ascii="Times New Roman" w:hAnsi="Times New Roman" w:eastAsia="方正仿宋_GB2312" w:cs="Times New Roman"/>
          <w:b w:val="0"/>
          <w:bCs w:val="0"/>
          <w:color w:val="auto"/>
          <w:lang w:eastAsia="zh-CN"/>
        </w:rPr>
        <w:t>2.0.2.3</w:t>
      </w:r>
      <w:r>
        <w:rPr>
          <w:rFonts w:hint="eastAsia" w:ascii="Times New Roman" w:hAnsi="Times New Roman" w:eastAsia="方正仿宋_GB2312" w:cs="Times New Roman"/>
          <w:b w:val="0"/>
          <w:bCs w:val="0"/>
          <w:color w:val="auto"/>
        </w:rPr>
        <w:t xml:space="preserve"> 应考虑应急状态下功能转换对楼面结构荷载的要求；</w:t>
      </w:r>
    </w:p>
    <w:p w14:paraId="6ED16BAE">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lang w:eastAsia="zh-CN"/>
        </w:rPr>
        <w:t>1</w:t>
      </w:r>
      <w:r>
        <w:rPr>
          <w:rFonts w:ascii="Times New Roman" w:hAnsi="Times New Roman" w:eastAsia="方正仿宋_GB2312" w:cs="Times New Roman"/>
          <w:b w:val="0"/>
          <w:bCs w:val="0"/>
          <w:color w:val="auto"/>
          <w:lang w:eastAsia="zh-CN"/>
        </w:rPr>
        <w:t>2.0.2.4</w:t>
      </w:r>
      <w:r>
        <w:rPr>
          <w:rFonts w:hint="eastAsia" w:ascii="Times New Roman" w:hAnsi="Times New Roman" w:eastAsia="方正仿宋_GB2312" w:cs="Times New Roman"/>
          <w:b w:val="0"/>
          <w:bCs w:val="0"/>
          <w:color w:val="auto"/>
        </w:rPr>
        <w:t xml:space="preserve"> 在原建筑外增设临时使用功能时，宜采用装配式模式贴邻原建筑进行建造。</w:t>
      </w:r>
    </w:p>
    <w:p w14:paraId="731CD770">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12.</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3 “平急两用”城郊大仓基地的设计应编制平急转换设计专篇（包括“平时”使用设计图纸、“急时”隔离设计图纸、接口及场所预留设计图纸。急时的建筑空间重新划分说明、急时的管制要求、“三区三通道”分区示意图和流线组织、机电运行、隔离措施，以及平急转换技术措施说明、转换工程量、转换设备材料清单等）。</w:t>
      </w:r>
    </w:p>
    <w:p w14:paraId="3481CCD0">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12.</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4 场地设计时应考虑平急转换后：不占用原有消防车道、消防救援场地；室外场地应满足消防车道、消防车登高操作场地及相关消防设施的设置要求；不宜改变建筑原有防火分区的划分，应尽量利用原建筑中的消防疏散通道及安全出口；应急公共基础设施与其他建（构）筑物之间的防火间距应满足国家相关规范要求。</w:t>
      </w:r>
    </w:p>
    <w:p w14:paraId="43774870">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12.</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5 临时设备、设施的摆放严禁占用疏散通道，不得影响疏散通行宽度。仓储堆场等不应占用消防车道，不得影响消防车的正常通行。</w:t>
      </w:r>
    </w:p>
    <w:p w14:paraId="5222BAA4">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12.</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6 “急时”功能宜与“平时”功能同步建设，宜一次建成验收。确有困难且施工周期短的设施可预留场地、预留接口，“急时”可采用移动方舱或装配式部品安装施工。</w:t>
      </w:r>
    </w:p>
    <w:p w14:paraId="195F0A22">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12.</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7 “平”转“急”时，应按照“急时”设计图明确总平面“三区三通道”的边界，设置物理隔断或明显标识。</w:t>
      </w:r>
    </w:p>
    <w:p w14:paraId="6E148B0C">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12.</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8</w:t>
      </w:r>
      <w:r>
        <w:rPr>
          <w:rFonts w:ascii="Times New Roman" w:hAnsi="Times New Roman" w:eastAsia="方正仿宋_GB2312" w:cs="Times New Roman"/>
          <w:b w:val="0"/>
          <w:bCs w:val="0"/>
          <w:color w:val="auto"/>
        </w:rPr>
        <w:t xml:space="preserve"> </w:t>
      </w:r>
      <w:r>
        <w:rPr>
          <w:rFonts w:hint="eastAsia" w:ascii="Times New Roman" w:hAnsi="Times New Roman" w:eastAsia="方正仿宋_GB2312" w:cs="Times New Roman"/>
          <w:b w:val="0"/>
          <w:bCs w:val="0"/>
          <w:color w:val="auto"/>
        </w:rPr>
        <w:t>平急转换后的室内外导视牌标识应符合“平急使用</w:t>
      </w:r>
      <w:r>
        <w:rPr>
          <w:rFonts w:ascii="Times New Roman" w:hAnsi="Times New Roman" w:eastAsia="方正仿宋_GB2312" w:cs="Times New Roman"/>
          <w:b w:val="0"/>
          <w:bCs w:val="0"/>
          <w:color w:val="auto"/>
        </w:rPr>
        <w:t>”</w:t>
      </w:r>
      <w:r>
        <w:rPr>
          <w:rFonts w:hint="eastAsia" w:ascii="Times New Roman" w:hAnsi="Times New Roman" w:eastAsia="方正仿宋_GB2312" w:cs="Times New Roman"/>
          <w:b w:val="0"/>
          <w:bCs w:val="0"/>
          <w:color w:val="auto"/>
        </w:rPr>
        <w:t>场地导视牌标识要求（各功能区可以采用不同颜色标识区分）。</w:t>
      </w:r>
    </w:p>
    <w:p w14:paraId="25273D41">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12.</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9</w:t>
      </w:r>
      <w:r>
        <w:rPr>
          <w:rFonts w:ascii="Times New Roman" w:hAnsi="Times New Roman" w:eastAsia="方正仿宋_GB2312" w:cs="Times New Roman"/>
          <w:b w:val="0"/>
          <w:bCs w:val="0"/>
          <w:color w:val="auto"/>
        </w:rPr>
        <w:t xml:space="preserve"> </w:t>
      </w:r>
      <w:r>
        <w:rPr>
          <w:rFonts w:hint="eastAsia" w:ascii="Times New Roman" w:hAnsi="Times New Roman" w:eastAsia="方正仿宋_GB2312" w:cs="Times New Roman"/>
          <w:b w:val="0"/>
          <w:bCs w:val="0"/>
          <w:color w:val="auto"/>
        </w:rPr>
        <w:t>设计时应考虑“急”时功能转换对楼面结构荷载的要求。平急转换改造应注重对原有主体结构的保护，改造所用的主材应符合防火、环保、轻型的要求</w:t>
      </w:r>
      <w:r>
        <w:rPr>
          <w:rFonts w:hint="eastAsia" w:ascii="Times New Roman" w:hAnsi="Times New Roman" w:eastAsia="方正仿宋_GB2312" w:cs="Times New Roman"/>
          <w:b w:val="0"/>
          <w:bCs w:val="0"/>
          <w:color w:val="auto"/>
          <w:lang w:eastAsia="zh-CN"/>
        </w:rPr>
        <w:t>。</w:t>
      </w:r>
    </w:p>
    <w:p w14:paraId="6D659DAF">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12.</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10 “平急”转换新增分隔墙体在满足建筑功能的情况下，宜采用轻质隔墙。隔墙与主体结构应有可靠的节点连接方式和构造，连接宜便于现场安装与拆除。</w:t>
      </w:r>
    </w:p>
    <w:p w14:paraId="6E5F2FD1">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12.</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11 建筑外墙预留的应急移动发电车供电接口套管，“平时”应做好防火封堵处理，“急时”接入应急电源电缆至变电所发电车进线柜。</w:t>
      </w:r>
    </w:p>
    <w:p w14:paraId="54BA5ED5">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12.</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12</w:t>
      </w:r>
      <w:r>
        <w:rPr>
          <w:rFonts w:ascii="Times New Roman" w:hAnsi="Times New Roman" w:eastAsia="方正仿宋_GB2312" w:cs="Times New Roman"/>
          <w:b w:val="0"/>
          <w:bCs w:val="0"/>
          <w:color w:val="auto"/>
        </w:rPr>
        <w:t xml:space="preserve"> </w:t>
      </w:r>
      <w:r>
        <w:rPr>
          <w:rFonts w:hint="eastAsia" w:ascii="Times New Roman" w:hAnsi="Times New Roman" w:eastAsia="方正仿宋_GB2312" w:cs="Times New Roman"/>
          <w:b w:val="0"/>
          <w:bCs w:val="0"/>
          <w:color w:val="auto"/>
        </w:rPr>
        <w:t>结合“平急两用”需要，将“急时”所需的配电桥架、线槽、保护管等先期预埋到位，但不应影响“平时”正常使用功能和建筑观感。</w:t>
      </w:r>
    </w:p>
    <w:p w14:paraId="0CD4FF9A">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12.</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13 根据“平急两用”需要，应结合项目规模、应急隔离人员数量，采取平急结合的方式配置男女公共卫生间数量及专用清洁、清洗场所。</w:t>
      </w:r>
    </w:p>
    <w:p w14:paraId="625E71D6">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12.</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14 对于改扩建工程应充分利用既有建筑给排水设施，短时间内以最小的成本实施改造和建设，满足“急时”功能要求，并兼顾后续恢复原建筑使用功能的需求。</w:t>
      </w:r>
    </w:p>
    <w:p w14:paraId="5C42161A">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12.</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15</w:t>
      </w:r>
      <w:r>
        <w:rPr>
          <w:rFonts w:ascii="Times New Roman" w:hAnsi="Times New Roman" w:eastAsia="方正仿宋_GB2312" w:cs="Times New Roman"/>
          <w:b w:val="0"/>
          <w:bCs w:val="0"/>
          <w:color w:val="auto"/>
        </w:rPr>
        <w:t xml:space="preserve"> </w:t>
      </w:r>
      <w:r>
        <w:rPr>
          <w:rFonts w:hint="eastAsia" w:ascii="Times New Roman" w:hAnsi="Times New Roman" w:eastAsia="方正仿宋_GB2312" w:cs="Times New Roman"/>
          <w:b w:val="0"/>
          <w:bCs w:val="0"/>
          <w:color w:val="auto"/>
        </w:rPr>
        <w:t>根据“平急两用”需要，在保证“平时”高效运行的前提下，应预留储存应急期间水量及供水设备的条件。“急时”可以迅速满足储存水量要求并将设备安装到位。</w:t>
      </w:r>
    </w:p>
    <w:p w14:paraId="5C4CC392">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12.</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16 污水处理应采取平急结合的方式，保证安全可靠，经济合理。</w:t>
      </w:r>
    </w:p>
    <w:p w14:paraId="6E56CAD8">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12.</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17</w:t>
      </w:r>
      <w:r>
        <w:rPr>
          <w:rFonts w:ascii="Times New Roman" w:hAnsi="Times New Roman" w:eastAsia="方正仿宋_GB2312" w:cs="Times New Roman"/>
          <w:b w:val="0"/>
          <w:bCs w:val="0"/>
          <w:color w:val="auto"/>
        </w:rPr>
        <w:t xml:space="preserve"> </w:t>
      </w:r>
      <w:r>
        <w:rPr>
          <w:rFonts w:hint="eastAsia" w:ascii="Times New Roman" w:hAnsi="Times New Roman" w:eastAsia="方正仿宋_GB2312" w:cs="Times New Roman"/>
          <w:b w:val="0"/>
          <w:bCs w:val="0"/>
          <w:color w:val="auto"/>
        </w:rPr>
        <w:t>“平急两用”建筑“急时”状态结束后，应按先卸荷、后恢复的顺序，逐步恢复至“平时”使用状态；“急”时情况结束后，可快速、便捷地恢复建筑原有功能，满足日常运营需求。“急”时恢复“平”时时，移动围栏、标识牌等“急时”特有的物品应存放在专用库房内妥善保管。</w:t>
      </w:r>
    </w:p>
    <w:p w14:paraId="5EEBE5F9">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12.</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18</w:t>
      </w:r>
      <w:r>
        <w:rPr>
          <w:rFonts w:ascii="Times New Roman" w:hAnsi="Times New Roman" w:eastAsia="方正仿宋_GB2312" w:cs="Times New Roman"/>
          <w:b w:val="0"/>
          <w:bCs w:val="0"/>
          <w:color w:val="auto"/>
        </w:rPr>
        <w:t xml:space="preserve"> </w:t>
      </w:r>
      <w:r>
        <w:rPr>
          <w:rFonts w:hint="eastAsia" w:ascii="Times New Roman" w:hAnsi="Times New Roman" w:eastAsia="方正仿宋_GB2312" w:cs="Times New Roman"/>
          <w:b w:val="0"/>
          <w:bCs w:val="0"/>
          <w:color w:val="auto"/>
        </w:rPr>
        <w:t>应急期间的临时板房、物理隔断、设施等使用的材料：其耐火性能、污染指标应符合相关消防、环保的标准和规定；其装修构件和材料应选用难燃或不燃材料，并应符合现行国家标准《建筑防火通用规范》GB 55037和《建筑内部装修设计防火规范》GB 50222的规定。</w:t>
      </w:r>
    </w:p>
    <w:p w14:paraId="601C27BC">
      <w:pPr>
        <w:rPr>
          <w:rFonts w:ascii="宋体" w:hAnsi="宋体" w:eastAsia="宋体"/>
          <w:sz w:val="28"/>
          <w:szCs w:val="28"/>
        </w:rPr>
      </w:pPr>
      <w:r>
        <w:rPr>
          <w:rFonts w:ascii="宋体" w:hAnsi="宋体" w:eastAsia="宋体"/>
          <w:sz w:val="28"/>
          <w:szCs w:val="28"/>
        </w:rPr>
        <w:br w:type="page"/>
      </w:r>
    </w:p>
    <w:p w14:paraId="6235BB5A">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cs="Times New Roman"/>
          <w:b w:val="0"/>
          <w:snapToGrid w:val="0"/>
          <w:kern w:val="0"/>
          <w:sz w:val="40"/>
          <w:szCs w:val="40"/>
          <w:lang w:eastAsia="en-US"/>
        </w:rPr>
      </w:pPr>
      <w:bookmarkStart w:id="42" w:name="_Toc215675817"/>
      <w:r>
        <w:rPr>
          <w:rFonts w:hint="eastAsia" w:ascii="Times New Roman" w:hAnsi="Times New Roman" w:eastAsia="黑体" w:cs="Times New Roman"/>
          <w:b w:val="0"/>
          <w:snapToGrid w:val="0"/>
          <w:kern w:val="0"/>
          <w:sz w:val="40"/>
          <w:szCs w:val="40"/>
          <w:lang w:eastAsia="en-US"/>
        </w:rPr>
        <w:t>1</w:t>
      </w:r>
      <w:r>
        <w:rPr>
          <w:rFonts w:ascii="Times New Roman" w:hAnsi="Times New Roman" w:eastAsia="黑体" w:cs="Times New Roman"/>
          <w:b w:val="0"/>
          <w:snapToGrid w:val="0"/>
          <w:kern w:val="0"/>
          <w:sz w:val="40"/>
          <w:szCs w:val="40"/>
          <w:lang w:eastAsia="en-US"/>
        </w:rPr>
        <w:t xml:space="preserve">3  </w:t>
      </w:r>
      <w:r>
        <w:rPr>
          <w:rFonts w:hint="eastAsia" w:ascii="Times New Roman" w:hAnsi="Times New Roman" w:eastAsia="黑体" w:cs="Times New Roman"/>
          <w:b w:val="0"/>
          <w:snapToGrid w:val="0"/>
          <w:kern w:val="0"/>
          <w:sz w:val="40"/>
          <w:szCs w:val="40"/>
          <w:lang w:eastAsia="en-US"/>
        </w:rPr>
        <w:t>运营维</w:t>
      </w:r>
      <w:r>
        <w:rPr>
          <w:rFonts w:hint="eastAsia" w:ascii="Times New Roman" w:hAnsi="Times New Roman" w:eastAsia="黑体" w:cs="Times New Roman"/>
          <w:b w:val="0"/>
          <w:snapToGrid w:val="0"/>
          <w:kern w:val="0"/>
          <w:sz w:val="40"/>
          <w:szCs w:val="40"/>
        </w:rPr>
        <w:t>护</w:t>
      </w:r>
      <w:bookmarkEnd w:id="42"/>
    </w:p>
    <w:p w14:paraId="1AE26BDC">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cs="Times New Roman"/>
          <w:b w:val="0"/>
          <w:snapToGrid w:val="0"/>
          <w:kern w:val="0"/>
          <w:sz w:val="40"/>
          <w:szCs w:val="40"/>
          <w:lang w:eastAsia="en-US"/>
        </w:rPr>
      </w:pPr>
    </w:p>
    <w:p w14:paraId="7B5087B2">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bookmarkStart w:id="43" w:name="OLE_LINK22"/>
      <w:r>
        <w:rPr>
          <w:rFonts w:hint="eastAsia" w:ascii="Times New Roman" w:hAnsi="Times New Roman" w:eastAsia="方正仿宋_GB2312" w:cs="Times New Roman"/>
          <w:b w:val="0"/>
          <w:bCs w:val="0"/>
          <w:color w:val="auto"/>
        </w:rPr>
        <w:t>13.0.1</w:t>
      </w:r>
      <w:r>
        <w:rPr>
          <w:rFonts w:ascii="Times New Roman" w:hAnsi="Times New Roman" w:eastAsia="方正仿宋_GB2312" w:cs="Times New Roman"/>
          <w:b w:val="0"/>
          <w:bCs w:val="0"/>
          <w:color w:val="auto"/>
        </w:rPr>
        <w:t xml:space="preserve"> </w:t>
      </w:r>
      <w:r>
        <w:rPr>
          <w:rFonts w:hint="eastAsia" w:ascii="Times New Roman" w:hAnsi="Times New Roman" w:eastAsia="方正仿宋_GB2312" w:cs="Times New Roman"/>
          <w:b w:val="0"/>
          <w:bCs w:val="0"/>
          <w:color w:val="auto"/>
        </w:rPr>
        <w:t>“平急两用”城郊大仓基地应结合基础设施条件和日常使用情况，制定“平时”和“急时”的运行管理方案，明确组织架构及人员职责，同时商定物资供给和后勤服务保障的供应商，确保能够及时应急启用。</w:t>
      </w:r>
    </w:p>
    <w:p w14:paraId="5B72C162">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13.0.2</w:t>
      </w:r>
      <w:r>
        <w:rPr>
          <w:rFonts w:ascii="Times New Roman" w:hAnsi="Times New Roman" w:eastAsia="方正仿宋_GB2312" w:cs="Times New Roman"/>
          <w:b w:val="0"/>
          <w:bCs w:val="0"/>
          <w:color w:val="auto"/>
        </w:rPr>
        <w:t xml:space="preserve"> </w:t>
      </w:r>
      <w:r>
        <w:rPr>
          <w:rFonts w:hint="eastAsia" w:ascii="Times New Roman" w:hAnsi="Times New Roman" w:eastAsia="方正仿宋_GB2312" w:cs="Times New Roman"/>
          <w:b w:val="0"/>
          <w:bCs w:val="0"/>
          <w:color w:val="auto"/>
        </w:rPr>
        <w:t>“平急两用”城郊大仓基地应根据需要制定储备物资目录清单，储备必要的设备及物资，满足“急时”运行的基本要求。</w:t>
      </w:r>
    </w:p>
    <w:p w14:paraId="5C71A10B">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13.0.3</w:t>
      </w:r>
      <w:r>
        <w:rPr>
          <w:rFonts w:ascii="Times New Roman" w:hAnsi="Times New Roman" w:eastAsia="方正仿宋_GB2312" w:cs="Times New Roman"/>
          <w:b w:val="0"/>
          <w:bCs w:val="0"/>
          <w:color w:val="auto"/>
        </w:rPr>
        <w:t xml:space="preserve"> </w:t>
      </w:r>
      <w:r>
        <w:rPr>
          <w:rFonts w:hint="eastAsia" w:ascii="Times New Roman" w:hAnsi="Times New Roman" w:eastAsia="方正仿宋_GB2312" w:cs="Times New Roman"/>
          <w:b w:val="0"/>
          <w:bCs w:val="0"/>
          <w:color w:val="auto"/>
        </w:rPr>
        <w:t>在日常维护过程中，应对建筑的使用环境以及相应系统、设备的运行情况定期巡查，严格执行安全操作规程，及时整修维护，确保应急状态下快速安全启用。</w:t>
      </w:r>
    </w:p>
    <w:p w14:paraId="0E3C180A">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13.0.4</w:t>
      </w:r>
      <w:r>
        <w:rPr>
          <w:rFonts w:ascii="Times New Roman" w:hAnsi="Times New Roman" w:eastAsia="方正仿宋_GB2312" w:cs="Times New Roman"/>
          <w:b w:val="0"/>
          <w:bCs w:val="0"/>
          <w:color w:val="auto"/>
        </w:rPr>
        <w:t xml:space="preserve"> </w:t>
      </w:r>
      <w:r>
        <w:rPr>
          <w:rFonts w:hint="eastAsia" w:ascii="Times New Roman" w:hAnsi="Times New Roman" w:eastAsia="方正仿宋_GB2312" w:cs="Times New Roman"/>
          <w:b w:val="0"/>
          <w:bCs w:val="0"/>
          <w:color w:val="auto"/>
        </w:rPr>
        <w:t>项目运营管理部门应定期开展必要的日常训练和应急演习，确保相关人员在“急时”能够熟练、正确地进行设施和流程的转换。</w:t>
      </w:r>
    </w:p>
    <w:p w14:paraId="3272E078">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13.0.5</w:t>
      </w:r>
      <w:r>
        <w:rPr>
          <w:rFonts w:ascii="Times New Roman" w:hAnsi="Times New Roman" w:eastAsia="方正仿宋_GB2312" w:cs="Times New Roman"/>
          <w:b w:val="0"/>
          <w:bCs w:val="0"/>
          <w:color w:val="auto"/>
        </w:rPr>
        <w:t xml:space="preserve"> </w:t>
      </w:r>
      <w:r>
        <w:rPr>
          <w:rFonts w:hint="eastAsia" w:ascii="Times New Roman" w:hAnsi="Times New Roman" w:eastAsia="方正仿宋_GB2312" w:cs="Times New Roman"/>
          <w:b w:val="0"/>
          <w:bCs w:val="0"/>
          <w:color w:val="auto"/>
        </w:rPr>
        <w:t>“平急两用”城郊大仓基地征用期间不得作为他用。征用结束后，应对该建筑作为“急时”大仓基地设施时使用的区域进行全面检查、消杀，通过经综合安全评估后方可恢复其建筑原有使用功能。经评估可重复利用的材料、构件宜清理编号后存放于专用库房。</w:t>
      </w:r>
      <w:bookmarkEnd w:id="43"/>
    </w:p>
    <w:p w14:paraId="14781563">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w:t>
      </w:r>
      <w:r>
        <w:rPr>
          <w:rFonts w:ascii="Times New Roman" w:hAnsi="Times New Roman" w:eastAsia="方正仿宋_GB2312" w:cs="Times New Roman"/>
          <w:b w:val="0"/>
          <w:bCs w:val="0"/>
          <w:color w:val="auto"/>
        </w:rPr>
        <w:t xml:space="preserve">3.0.6 </w:t>
      </w:r>
      <w:r>
        <w:rPr>
          <w:rFonts w:hint="eastAsia" w:ascii="Times New Roman" w:hAnsi="Times New Roman" w:eastAsia="方正仿宋_GB2312" w:cs="Times New Roman"/>
          <w:b w:val="0"/>
          <w:bCs w:val="0"/>
          <w:color w:val="auto"/>
        </w:rPr>
        <w:t>应根据国家相关标准制定水池、水箱等储水设施定期清洗消毒计划并实施。</w:t>
      </w: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86B1034-1052-4F7A-900E-11715663DE64}"/>
  </w:font>
  <w:font w:name="Arial">
    <w:panose1 w:val="020B0604020202020204"/>
    <w:charset w:val="01"/>
    <w:family w:val="swiss"/>
    <w:pitch w:val="default"/>
    <w:sig w:usb0="E0002EFF" w:usb1="C000785B" w:usb2="00000009" w:usb3="00000000" w:csb0="400001FF" w:csb1="FFFF0000"/>
    <w:embedRegular r:id="rId2" w:fontKey="{E86DA1B1-7644-4504-826E-DBA54CFF62AE}"/>
  </w:font>
  <w:font w:name="黑体">
    <w:panose1 w:val="02010609060101010101"/>
    <w:charset w:val="86"/>
    <w:family w:val="auto"/>
    <w:pitch w:val="default"/>
    <w:sig w:usb0="800002BF" w:usb1="38CF7CFA" w:usb2="00000016" w:usb3="00000000" w:csb0="00040001" w:csb1="00000000"/>
    <w:embedRegular r:id="rId3" w:fontKey="{C3EC1959-49AD-4F08-AFDD-D186F504CF47}"/>
  </w:font>
  <w:font w:name="Courier New">
    <w:panose1 w:val="02070309020205020404"/>
    <w:charset w:val="01"/>
    <w:family w:val="modern"/>
    <w:pitch w:val="default"/>
    <w:sig w:usb0="E0002EFF" w:usb1="C0007843" w:usb2="00000009" w:usb3="00000000" w:csb0="400001FF" w:csb1="FFFF0000"/>
    <w:embedRegular r:id="rId4" w:fontKey="{06E45798-5F27-4028-B304-5F2AED75C498}"/>
  </w:font>
  <w:font w:name="Symbol">
    <w:panose1 w:val="05050102010706020507"/>
    <w:charset w:val="02"/>
    <w:family w:val="roman"/>
    <w:pitch w:val="default"/>
    <w:sig w:usb0="00000000" w:usb1="00000000" w:usb2="00000000" w:usb3="00000000" w:csb0="80000000" w:csb1="00000000"/>
    <w:embedRegular r:id="rId5" w:fontKey="{92213366-428E-4344-A184-F62C3770E5E9}"/>
  </w:font>
  <w:font w:name="Calibri">
    <w:panose1 w:val="020F0502020204030204"/>
    <w:charset w:val="00"/>
    <w:family w:val="swiss"/>
    <w:pitch w:val="default"/>
    <w:sig w:usb0="E4002EFF" w:usb1="C200247B" w:usb2="00000009" w:usb3="00000000" w:csb0="200001FF" w:csb1="00000000"/>
    <w:embedRegular r:id="rId6" w:fontKey="{7AF0DC97-CCD1-456F-8AFB-1CF7BDEF7454}"/>
  </w:font>
  <w:font w:name="等线">
    <w:panose1 w:val="02010600030101010101"/>
    <w:charset w:val="86"/>
    <w:family w:val="auto"/>
    <w:pitch w:val="default"/>
    <w:sig w:usb0="A00002BF" w:usb1="38CF7CFA" w:usb2="00000016" w:usb3="00000000" w:csb0="0004000F" w:csb1="00000000"/>
    <w:embedRegular r:id="rId7" w:fontKey="{514F2765-FE21-4107-9EB9-7E0799F3BAA4}"/>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embedRegular r:id="rId8" w:fontKey="{6A1DF860-45A8-42B2-A4B3-8BD7BEE4B8BD}"/>
  </w:font>
  <w:font w:name="方正小标宋简体">
    <w:panose1 w:val="02010601030101010101"/>
    <w:charset w:val="86"/>
    <w:family w:val="auto"/>
    <w:pitch w:val="default"/>
    <w:sig w:usb0="00000001" w:usb1="080E0000" w:usb2="00000000" w:usb3="00000000" w:csb0="00040000" w:csb1="00000000"/>
  </w:font>
  <w:font w:name="方正仿宋_GB2312">
    <w:panose1 w:val="02000000000000000000"/>
    <w:charset w:val="86"/>
    <w:family w:val="auto"/>
    <w:pitch w:val="default"/>
    <w:sig w:usb0="A00002BF" w:usb1="184F6CFA" w:usb2="00000012" w:usb3="00000000" w:csb0="00040001" w:csb1="00000000"/>
    <w:embedRegular r:id="rId9" w:fontKey="{8E1D726E-5F12-44F2-998F-1BC62B1C20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B7ABF">
    <w:pPr>
      <w:pStyle w:val="11"/>
      <w:jc w:val="center"/>
    </w:pPr>
  </w:p>
  <w:p w14:paraId="1C2412D7">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819308"/>
      <w:docPartObj>
        <w:docPartGallery w:val="AutoText"/>
      </w:docPartObj>
    </w:sdtPr>
    <w:sdtContent>
      <w:p w14:paraId="01DEA155">
        <w:pPr>
          <w:pStyle w:val="11"/>
          <w:jc w:val="center"/>
        </w:pPr>
        <w:r>
          <w:fldChar w:fldCharType="begin"/>
        </w:r>
        <w:r>
          <w:instrText xml:space="preserve">PAGE   \* MERGEFORMAT</w:instrText>
        </w:r>
        <w:r>
          <w:fldChar w:fldCharType="separate"/>
        </w:r>
        <w:r>
          <w:rPr>
            <w:lang w:val="zh-CN"/>
          </w:rPr>
          <w:t>2</w:t>
        </w:r>
        <w:r>
          <w:fldChar w:fldCharType="end"/>
        </w:r>
      </w:p>
    </w:sdtContent>
  </w:sdt>
  <w:p w14:paraId="03CBD6D8">
    <w:pPr>
      <w:pStyle w:val="11"/>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9"/>
    <w:multiLevelType w:val="singleLevel"/>
    <w:tmpl w:val="FFFFFF89"/>
    <w:lvl w:ilvl="0" w:tentative="0">
      <w:start w:val="1"/>
      <w:numFmt w:val="bullet"/>
      <w:pStyle w:val="6"/>
      <w:lvlText w:val=""/>
      <w:lvlJc w:val="left"/>
      <w:pPr>
        <w:tabs>
          <w:tab w:val="left" w:pos="360"/>
        </w:tabs>
        <w:ind w:left="360" w:hanging="360" w:hangingChars="20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8F9"/>
    <w:rsid w:val="00001D5F"/>
    <w:rsid w:val="00015C66"/>
    <w:rsid w:val="00030B7B"/>
    <w:rsid w:val="0004170A"/>
    <w:rsid w:val="00090C95"/>
    <w:rsid w:val="00094BD9"/>
    <w:rsid w:val="000A3A1D"/>
    <w:rsid w:val="00102B1B"/>
    <w:rsid w:val="00175895"/>
    <w:rsid w:val="00190200"/>
    <w:rsid w:val="00196790"/>
    <w:rsid w:val="001B2D17"/>
    <w:rsid w:val="001C47F7"/>
    <w:rsid w:val="001F5D4B"/>
    <w:rsid w:val="00213E13"/>
    <w:rsid w:val="00237641"/>
    <w:rsid w:val="00293DC1"/>
    <w:rsid w:val="002979EF"/>
    <w:rsid w:val="00297AFF"/>
    <w:rsid w:val="002A5968"/>
    <w:rsid w:val="002C0436"/>
    <w:rsid w:val="002C0690"/>
    <w:rsid w:val="002E4771"/>
    <w:rsid w:val="002E5D27"/>
    <w:rsid w:val="00301305"/>
    <w:rsid w:val="003821EC"/>
    <w:rsid w:val="003F1103"/>
    <w:rsid w:val="0043733C"/>
    <w:rsid w:val="00460A16"/>
    <w:rsid w:val="00462011"/>
    <w:rsid w:val="00480576"/>
    <w:rsid w:val="004A1286"/>
    <w:rsid w:val="004B4E80"/>
    <w:rsid w:val="004D2D77"/>
    <w:rsid w:val="0053728C"/>
    <w:rsid w:val="00542C2E"/>
    <w:rsid w:val="00573FD5"/>
    <w:rsid w:val="005B16A2"/>
    <w:rsid w:val="005C7051"/>
    <w:rsid w:val="00601CAA"/>
    <w:rsid w:val="006454FE"/>
    <w:rsid w:val="00674A6B"/>
    <w:rsid w:val="00680BD1"/>
    <w:rsid w:val="00690526"/>
    <w:rsid w:val="006A73D4"/>
    <w:rsid w:val="006E68BB"/>
    <w:rsid w:val="006F6033"/>
    <w:rsid w:val="00702F60"/>
    <w:rsid w:val="007333E9"/>
    <w:rsid w:val="00772629"/>
    <w:rsid w:val="007A023B"/>
    <w:rsid w:val="007A643D"/>
    <w:rsid w:val="007B7BC1"/>
    <w:rsid w:val="007F0666"/>
    <w:rsid w:val="008138F9"/>
    <w:rsid w:val="00836EEC"/>
    <w:rsid w:val="00844C60"/>
    <w:rsid w:val="00870452"/>
    <w:rsid w:val="00872642"/>
    <w:rsid w:val="00874B17"/>
    <w:rsid w:val="008D36A4"/>
    <w:rsid w:val="008D6F66"/>
    <w:rsid w:val="008F4D0F"/>
    <w:rsid w:val="00924175"/>
    <w:rsid w:val="00934009"/>
    <w:rsid w:val="0096096A"/>
    <w:rsid w:val="00967A5F"/>
    <w:rsid w:val="00971466"/>
    <w:rsid w:val="009B3D91"/>
    <w:rsid w:val="009D1FBB"/>
    <w:rsid w:val="009D417C"/>
    <w:rsid w:val="009F5B7C"/>
    <w:rsid w:val="00A129CA"/>
    <w:rsid w:val="00A30D12"/>
    <w:rsid w:val="00AB5D7C"/>
    <w:rsid w:val="00AE62F9"/>
    <w:rsid w:val="00B167F1"/>
    <w:rsid w:val="00B47A09"/>
    <w:rsid w:val="00B77899"/>
    <w:rsid w:val="00B83182"/>
    <w:rsid w:val="00B8364A"/>
    <w:rsid w:val="00C4529F"/>
    <w:rsid w:val="00C76DFF"/>
    <w:rsid w:val="00C82DDF"/>
    <w:rsid w:val="00C93AFB"/>
    <w:rsid w:val="00C94044"/>
    <w:rsid w:val="00CB0D0A"/>
    <w:rsid w:val="00CB6A01"/>
    <w:rsid w:val="00CB75BA"/>
    <w:rsid w:val="00CF3BFC"/>
    <w:rsid w:val="00D03128"/>
    <w:rsid w:val="00D3671B"/>
    <w:rsid w:val="00D66E5F"/>
    <w:rsid w:val="00D75C76"/>
    <w:rsid w:val="00D904CF"/>
    <w:rsid w:val="00DB3330"/>
    <w:rsid w:val="00DD1DC2"/>
    <w:rsid w:val="00E06769"/>
    <w:rsid w:val="00E144B4"/>
    <w:rsid w:val="00E668FA"/>
    <w:rsid w:val="00E947EA"/>
    <w:rsid w:val="00EC20A3"/>
    <w:rsid w:val="00F177EE"/>
    <w:rsid w:val="00F278A0"/>
    <w:rsid w:val="00F5361A"/>
    <w:rsid w:val="00F749D6"/>
    <w:rsid w:val="00F965E9"/>
    <w:rsid w:val="00FE72C1"/>
    <w:rsid w:val="5E1F2E4A"/>
    <w:rsid w:val="6C0B58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3"/>
    <w:qFormat/>
    <w:uiPriority w:val="9"/>
    <w:pPr>
      <w:keepNext/>
      <w:keepLines/>
      <w:spacing w:before="340" w:after="330" w:line="576" w:lineRule="auto"/>
      <w:outlineLvl w:val="0"/>
    </w:pPr>
    <w:rPr>
      <w:b/>
      <w:kern w:val="44"/>
      <w:sz w:val="44"/>
      <w:szCs w:val="24"/>
    </w:rPr>
  </w:style>
  <w:style w:type="paragraph" w:styleId="3">
    <w:name w:val="heading 2"/>
    <w:basedOn w:val="1"/>
    <w:next w:val="1"/>
    <w:link w:val="2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1"/>
    <w:unhideWhenUsed/>
    <w:qFormat/>
    <w:uiPriority w:val="9"/>
    <w:pPr>
      <w:keepNext/>
      <w:keepLines/>
      <w:spacing w:before="260" w:after="260" w:line="416" w:lineRule="auto"/>
      <w:outlineLvl w:val="2"/>
    </w:pPr>
    <w:rPr>
      <w:b/>
      <w:bCs/>
      <w:sz w:val="32"/>
      <w:szCs w:val="32"/>
    </w:rPr>
  </w:style>
  <w:style w:type="paragraph" w:styleId="5">
    <w:name w:val="heading 5"/>
    <w:basedOn w:val="1"/>
    <w:next w:val="1"/>
    <w:link w:val="31"/>
    <w:unhideWhenUsed/>
    <w:qFormat/>
    <w:uiPriority w:val="9"/>
    <w:pPr>
      <w:keepNext/>
      <w:keepLines/>
      <w:widowControl/>
      <w:kinsoku w:val="0"/>
      <w:autoSpaceDE w:val="0"/>
      <w:autoSpaceDN w:val="0"/>
      <w:adjustRightInd w:val="0"/>
      <w:snapToGrid w:val="0"/>
      <w:spacing w:before="280" w:after="290" w:line="376" w:lineRule="auto"/>
      <w:jc w:val="left"/>
      <w:textAlignment w:val="baseline"/>
      <w:outlineLvl w:val="4"/>
    </w:pPr>
    <w:rPr>
      <w:rFonts w:ascii="Arial" w:hAnsi="Arial" w:cs="Arial"/>
      <w:b/>
      <w:bCs/>
      <w:snapToGrid w:val="0"/>
      <w:color w:val="000000"/>
      <w:kern w:val="0"/>
      <w:sz w:val="28"/>
      <w:szCs w:val="28"/>
      <w:lang w:eastAsia="en-US"/>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6">
    <w:name w:val="List Bullet"/>
    <w:basedOn w:val="1"/>
    <w:unhideWhenUsed/>
    <w:qFormat/>
    <w:uiPriority w:val="99"/>
    <w:pPr>
      <w:numPr>
        <w:ilvl w:val="0"/>
        <w:numId w:val="1"/>
      </w:numPr>
      <w:contextualSpacing/>
    </w:pPr>
  </w:style>
  <w:style w:type="paragraph" w:styleId="7">
    <w:name w:val="annotation text"/>
    <w:basedOn w:val="1"/>
    <w:link w:val="22"/>
    <w:semiHidden/>
    <w:unhideWhenUsed/>
    <w:uiPriority w:val="99"/>
    <w:pPr>
      <w:jc w:val="left"/>
    </w:pPr>
  </w:style>
  <w:style w:type="paragraph" w:styleId="8">
    <w:name w:val="Body Text"/>
    <w:basedOn w:val="1"/>
    <w:link w:val="29"/>
    <w:semiHidden/>
    <w:qFormat/>
    <w:uiPriority w:val="0"/>
    <w:pPr>
      <w:widowControl/>
      <w:kinsoku w:val="0"/>
      <w:autoSpaceDE w:val="0"/>
      <w:autoSpaceDN w:val="0"/>
      <w:adjustRightInd w:val="0"/>
      <w:snapToGrid w:val="0"/>
      <w:jc w:val="left"/>
      <w:textAlignment w:val="baseline"/>
    </w:pPr>
    <w:rPr>
      <w:rFonts w:ascii="Arial" w:hAnsi="Arial" w:eastAsia="Arial" w:cs="Arial"/>
      <w:snapToGrid w:val="0"/>
      <w:color w:val="000000"/>
      <w:kern w:val="0"/>
      <w:szCs w:val="21"/>
      <w:lang w:eastAsia="en-US"/>
    </w:rPr>
  </w:style>
  <w:style w:type="paragraph" w:styleId="9">
    <w:name w:val="toc 3"/>
    <w:basedOn w:val="1"/>
    <w:next w:val="1"/>
    <w:autoRedefine/>
    <w:unhideWhenUsed/>
    <w:qFormat/>
    <w:uiPriority w:val="39"/>
    <w:pPr>
      <w:ind w:left="840" w:leftChars="400"/>
    </w:pPr>
  </w:style>
  <w:style w:type="paragraph" w:styleId="10">
    <w:name w:val="Balloon Text"/>
    <w:basedOn w:val="1"/>
    <w:link w:val="24"/>
    <w:semiHidden/>
    <w:unhideWhenUsed/>
    <w:qFormat/>
    <w:uiPriority w:val="99"/>
    <w:rPr>
      <w:sz w:val="18"/>
      <w:szCs w:val="18"/>
    </w:rPr>
  </w:style>
  <w:style w:type="paragraph" w:styleId="11">
    <w:name w:val="footer"/>
    <w:basedOn w:val="1"/>
    <w:link w:val="28"/>
    <w:unhideWhenUsed/>
    <w:qFormat/>
    <w:uiPriority w:val="99"/>
    <w:pPr>
      <w:tabs>
        <w:tab w:val="center" w:pos="4153"/>
        <w:tab w:val="right" w:pos="8306"/>
      </w:tabs>
      <w:snapToGrid w:val="0"/>
      <w:jc w:val="left"/>
    </w:pPr>
    <w:rPr>
      <w:sz w:val="18"/>
      <w:szCs w:val="18"/>
    </w:rPr>
  </w:style>
  <w:style w:type="paragraph" w:styleId="12">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autoRedefine/>
    <w:unhideWhenUsed/>
    <w:qFormat/>
    <w:uiPriority w:val="39"/>
    <w:pPr>
      <w:tabs>
        <w:tab w:val="right" w:leader="dot" w:pos="8296"/>
      </w:tabs>
      <w:spacing w:line="640" w:lineRule="exact"/>
    </w:pPr>
  </w:style>
  <w:style w:type="paragraph" w:styleId="14">
    <w:name w:val="toc 2"/>
    <w:basedOn w:val="1"/>
    <w:next w:val="1"/>
    <w:autoRedefine/>
    <w:unhideWhenUsed/>
    <w:qFormat/>
    <w:uiPriority w:val="39"/>
    <w:pPr>
      <w:widowControl/>
      <w:tabs>
        <w:tab w:val="right" w:leader="dot" w:pos="8296"/>
      </w:tabs>
      <w:spacing w:after="100" w:line="257" w:lineRule="auto"/>
      <w:ind w:left="221"/>
      <w:jc w:val="left"/>
    </w:pPr>
    <w:rPr>
      <w:rFonts w:cs="Times New Roman"/>
      <w:kern w:val="0"/>
      <w:sz w:val="22"/>
    </w:rPr>
  </w:style>
  <w:style w:type="paragraph" w:styleId="1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8">
    <w:name w:val="Strong"/>
    <w:basedOn w:val="17"/>
    <w:qFormat/>
    <w:uiPriority w:val="22"/>
    <w:rPr>
      <w:b/>
      <w:bCs/>
    </w:rPr>
  </w:style>
  <w:style w:type="character" w:styleId="19">
    <w:name w:val="Hyperlink"/>
    <w:basedOn w:val="17"/>
    <w:unhideWhenUsed/>
    <w:qFormat/>
    <w:uiPriority w:val="99"/>
    <w:rPr>
      <w:color w:val="0563C1" w:themeColor="hyperlink"/>
      <w:u w:val="single"/>
      <w14:textFill>
        <w14:solidFill>
          <w14:schemeClr w14:val="hlink"/>
        </w14:solidFill>
      </w14:textFill>
    </w:rPr>
  </w:style>
  <w:style w:type="character" w:styleId="20">
    <w:name w:val="annotation reference"/>
    <w:basedOn w:val="17"/>
    <w:semiHidden/>
    <w:unhideWhenUsed/>
    <w:uiPriority w:val="99"/>
    <w:rPr>
      <w:sz w:val="21"/>
      <w:szCs w:val="21"/>
    </w:rPr>
  </w:style>
  <w:style w:type="character" w:customStyle="1" w:styleId="21">
    <w:name w:val="标题 3 字符"/>
    <w:basedOn w:val="17"/>
    <w:link w:val="4"/>
    <w:uiPriority w:val="9"/>
    <w:rPr>
      <w:b/>
      <w:bCs/>
      <w:sz w:val="32"/>
      <w:szCs w:val="32"/>
    </w:rPr>
  </w:style>
  <w:style w:type="character" w:customStyle="1" w:styleId="22">
    <w:name w:val="批注文字 字符"/>
    <w:basedOn w:val="17"/>
    <w:link w:val="7"/>
    <w:semiHidden/>
    <w:uiPriority w:val="99"/>
  </w:style>
  <w:style w:type="character" w:customStyle="1" w:styleId="23">
    <w:name w:val="标题 1 字符"/>
    <w:basedOn w:val="17"/>
    <w:link w:val="2"/>
    <w:qFormat/>
    <w:uiPriority w:val="9"/>
    <w:rPr>
      <w:b/>
      <w:kern w:val="44"/>
      <w:sz w:val="44"/>
      <w:szCs w:val="24"/>
    </w:rPr>
  </w:style>
  <w:style w:type="character" w:customStyle="1" w:styleId="24">
    <w:name w:val="批注框文本 字符"/>
    <w:basedOn w:val="17"/>
    <w:link w:val="10"/>
    <w:semiHidden/>
    <w:qFormat/>
    <w:uiPriority w:val="99"/>
    <w:rPr>
      <w:sz w:val="18"/>
      <w:szCs w:val="18"/>
    </w:rPr>
  </w:style>
  <w:style w:type="paragraph" w:customStyle="1" w:styleId="25">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character" w:customStyle="1" w:styleId="26">
    <w:name w:val="标题 2 字符"/>
    <w:basedOn w:val="17"/>
    <w:link w:val="3"/>
    <w:qFormat/>
    <w:uiPriority w:val="9"/>
    <w:rPr>
      <w:rFonts w:asciiTheme="majorHAnsi" w:hAnsiTheme="majorHAnsi" w:eastAsiaTheme="majorEastAsia" w:cstheme="majorBidi"/>
      <w:b/>
      <w:bCs/>
      <w:sz w:val="32"/>
      <w:szCs w:val="32"/>
    </w:rPr>
  </w:style>
  <w:style w:type="character" w:customStyle="1" w:styleId="27">
    <w:name w:val="页眉 字符"/>
    <w:basedOn w:val="17"/>
    <w:link w:val="12"/>
    <w:qFormat/>
    <w:uiPriority w:val="99"/>
    <w:rPr>
      <w:sz w:val="18"/>
      <w:szCs w:val="18"/>
    </w:rPr>
  </w:style>
  <w:style w:type="character" w:customStyle="1" w:styleId="28">
    <w:name w:val="页脚 字符"/>
    <w:basedOn w:val="17"/>
    <w:link w:val="11"/>
    <w:uiPriority w:val="99"/>
    <w:rPr>
      <w:sz w:val="18"/>
      <w:szCs w:val="18"/>
    </w:rPr>
  </w:style>
  <w:style w:type="character" w:customStyle="1" w:styleId="29">
    <w:name w:val="正文文本 字符"/>
    <w:basedOn w:val="17"/>
    <w:link w:val="8"/>
    <w:semiHidden/>
    <w:uiPriority w:val="0"/>
    <w:rPr>
      <w:rFonts w:ascii="Arial" w:hAnsi="Arial" w:eastAsia="Arial" w:cs="Arial"/>
      <w:snapToGrid w:val="0"/>
      <w:color w:val="000000"/>
      <w:sz w:val="21"/>
      <w:szCs w:val="21"/>
      <w:lang w:eastAsia="en-US"/>
    </w:rPr>
  </w:style>
  <w:style w:type="paragraph" w:customStyle="1" w:styleId="30">
    <w:name w:val="Revision"/>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31">
    <w:name w:val="标题 5 字符"/>
    <w:basedOn w:val="17"/>
    <w:link w:val="5"/>
    <w:qFormat/>
    <w:uiPriority w:val="9"/>
    <w:rPr>
      <w:rFonts w:ascii="Arial" w:hAnsi="Arial" w:cs="Arial"/>
      <w:b/>
      <w:bCs/>
      <w:snapToGrid w:val="0"/>
      <w:color w:val="000000"/>
      <w:sz w:val="28"/>
      <w:szCs w:val="28"/>
      <w:lang w:eastAsia="en-US"/>
    </w:rPr>
  </w:style>
  <w:style w:type="paragraph" w:customStyle="1" w:styleId="32">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D34AE2-0F28-43F1-A38F-CA78CADF9386}">
  <ds:schemaRefs/>
</ds:datastoreItem>
</file>

<file path=docProps/app.xml><?xml version="1.0" encoding="utf-8"?>
<Properties xmlns="http://schemas.openxmlformats.org/officeDocument/2006/extended-properties" xmlns:vt="http://schemas.openxmlformats.org/officeDocument/2006/docPropsVTypes">
  <Template>Normal.dotm</Template>
  <Pages>30</Pages>
  <Words>11251</Words>
  <Characters>12361</Characters>
  <Lines>99</Lines>
  <Paragraphs>28</Paragraphs>
  <TotalTime>0</TotalTime>
  <ScaleCrop>false</ScaleCrop>
  <LinksUpToDate>false</LinksUpToDate>
  <CharactersWithSpaces>12692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2025-12-08T01:26:00Z</dcterms:created>
  <dc:creator>Administrator</dc:creator>
  <cp:lastModifiedBy>夜鲨¹³⁸⁹¹⁷⁷¹⁷⁸⁸</cp:lastModifiedBy>
  <dcterms:modified xsi:type="dcterms:W3CDTF">2025-12-09T03:45:57Z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eyJoZGlkIjoiYWE3NzVhZDE5YzQxZmVhYzBiYzBjMGEyYTMyYmEyYmIiLCJ1c2VySWQiOiI3NjAxMTAyNDUifQ==</vt:lpwstr>
  </property>
  <property fmtid="{D5CDD505-2E9C-101B-9397-08002B2CF9AE}" pid="3" name="KSOProductBuildVer">
    <vt:lpwstr>2052-12.1.0.23542</vt:lpwstr>
  </property>
  <property fmtid="{D5CDD505-2E9C-101B-9397-08002B2CF9AE}" pid="4" name="ICV">
    <vt:lpwstr>320436EEA8BB483D8A214271FA10FAA3_12</vt:lpwstr>
  </property>
</Properties>
</file>